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eastAsia="zh-TW"/>
        </w:rPr>
        <w:t>新疆财政支出绩效自评报告</w:t>
      </w: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eastAsia="Times New Roman"/>
          <w:kern w:val="0"/>
          <w:sz w:val="36"/>
          <w:szCs w:val="36"/>
          <w:lang w:val="zh-TW" w:eastAsia="zh-TW"/>
        </w:rPr>
      </w:pPr>
      <w:r>
        <w:rPr>
          <w:rFonts w:hint="eastAsia" w:ascii="仿宋_GB2312" w:hAnsi="仿宋_GB2312" w:eastAsia="仿宋_GB2312" w:cs="仿宋_GB2312"/>
          <w:kern w:val="0"/>
          <w:sz w:val="36"/>
          <w:szCs w:val="36"/>
          <w:lang w:val="zh-TW" w:eastAsia="zh-TW"/>
        </w:rPr>
        <w:t>（</w:t>
      </w:r>
      <w:r>
        <w:rPr>
          <w:rFonts w:ascii="仿宋_GB2312" w:hAnsi="仿宋_GB2312" w:eastAsia="仿宋_GB2312" w:cs="仿宋_GB2312"/>
          <w:kern w:val="0"/>
          <w:sz w:val="36"/>
          <w:szCs w:val="36"/>
          <w:lang w:val="zh-TW" w:eastAsia="zh-TW"/>
        </w:rPr>
        <w:t>201</w:t>
      </w:r>
      <w:r>
        <w:rPr>
          <w:rFonts w:ascii="仿宋_GB2312" w:hAnsi="仿宋_GB2312" w:eastAsia="仿宋_GB2312" w:cs="仿宋_GB2312"/>
          <w:kern w:val="0"/>
          <w:sz w:val="36"/>
          <w:szCs w:val="36"/>
        </w:rPr>
        <w:t>8</w:t>
      </w:r>
      <w:r>
        <w:rPr>
          <w:rFonts w:hint="eastAsia" w:ascii="仿宋_GB2312" w:hAnsi="仿宋_GB2312" w:eastAsia="仿宋_GB2312" w:cs="仿宋_GB2312"/>
          <w:kern w:val="0"/>
          <w:sz w:val="36"/>
          <w:szCs w:val="36"/>
          <w:lang w:val="zh-TW" w:eastAsia="zh-TW"/>
        </w:rPr>
        <w:t>年度）</w:t>
      </w:r>
    </w:p>
    <w:p>
      <w:pPr>
        <w:pStyle w:val="49"/>
        <w:spacing w:line="540" w:lineRule="exact"/>
        <w:jc w:val="center"/>
        <w:rPr>
          <w:rFonts w:eastAsia="Times New Roman"/>
          <w:kern w:val="0"/>
          <w:sz w:val="30"/>
          <w:szCs w:val="30"/>
        </w:rPr>
      </w:pPr>
    </w:p>
    <w:p>
      <w:pPr>
        <w:pStyle w:val="49"/>
        <w:spacing w:line="540" w:lineRule="exact"/>
        <w:jc w:val="center"/>
        <w:rPr>
          <w:rFonts w:eastAsia="Times New Roman"/>
          <w:kern w:val="0"/>
          <w:sz w:val="30"/>
          <w:szCs w:val="30"/>
        </w:rPr>
      </w:pPr>
    </w:p>
    <w:p>
      <w:pPr>
        <w:pStyle w:val="49"/>
        <w:spacing w:line="540" w:lineRule="exact"/>
        <w:rPr>
          <w:rFonts w:eastAsia="Times New Roman"/>
          <w:kern w:val="0"/>
          <w:sz w:val="30"/>
          <w:szCs w:val="30"/>
        </w:rPr>
      </w:pPr>
    </w:p>
    <w:p>
      <w:pPr>
        <w:pStyle w:val="49"/>
        <w:spacing w:line="700" w:lineRule="exact"/>
        <w:ind w:left="2518" w:leftChars="342" w:hanging="1800" w:hangingChars="500"/>
        <w:jc w:val="left"/>
        <w:rPr>
          <w:rFonts w:hint="eastAsia"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塔什库尔干县第四次全国经济普查经费项目</w:t>
      </w:r>
    </w:p>
    <w:p>
      <w:pPr>
        <w:pStyle w:val="49"/>
        <w:spacing w:line="700" w:lineRule="exact"/>
        <w:ind w:firstLine="720" w:firstLineChars="200"/>
        <w:jc w:val="left"/>
        <w:rPr>
          <w:rFonts w:eastAsia="Times New Roman"/>
          <w:kern w:val="0"/>
          <w:sz w:val="36"/>
          <w:szCs w:val="36"/>
          <w:lang w:val="zh-TW"/>
        </w:rPr>
      </w:pPr>
      <w:r>
        <w:rPr>
          <w:rFonts w:hint="eastAsia"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塔什库尔干县统计局</w:t>
      </w:r>
    </w:p>
    <w:p>
      <w:pPr>
        <w:pStyle w:val="49"/>
        <w:spacing w:line="700" w:lineRule="exact"/>
        <w:ind w:firstLine="720" w:firstLineChars="200"/>
        <w:jc w:val="left"/>
        <w:rPr>
          <w:rFonts w:hint="eastAsia" w:eastAsia="仿宋_GB2312"/>
          <w:kern w:val="0"/>
          <w:sz w:val="36"/>
          <w:szCs w:val="36"/>
          <w:lang w:val="en-US" w:eastAsia="zh-CN"/>
        </w:rPr>
      </w:pPr>
      <w:r>
        <w:rPr>
          <w:rFonts w:hint="eastAsia"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塔什库尔干县</w:t>
      </w:r>
      <w:r>
        <w:rPr>
          <w:rFonts w:hint="eastAsia" w:ascii="仿宋_GB2312" w:hAnsi="仿宋_GB2312" w:eastAsia="仿宋_GB2312" w:cs="仿宋_GB2312"/>
          <w:kern w:val="0"/>
          <w:sz w:val="36"/>
          <w:szCs w:val="36"/>
          <w:lang w:val="zh-TW" w:eastAsia="zh-CN"/>
        </w:rPr>
        <w:t>人民政府</w:t>
      </w:r>
    </w:p>
    <w:p>
      <w:pPr>
        <w:pStyle w:val="49"/>
        <w:spacing w:line="700" w:lineRule="exact"/>
        <w:ind w:firstLine="720" w:firstLineChars="200"/>
        <w:jc w:val="left"/>
        <w:rPr>
          <w:rFonts w:eastAsia="Times New Roman"/>
          <w:kern w:val="0"/>
          <w:sz w:val="36"/>
          <w:szCs w:val="36"/>
          <w:lang w:val="zh-TW"/>
        </w:rPr>
      </w:pPr>
      <w:r>
        <w:rPr>
          <w:rFonts w:hint="eastAsia"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杨海波</w:t>
      </w:r>
    </w:p>
    <w:p>
      <w:pPr>
        <w:pStyle w:val="49"/>
        <w:spacing w:line="700" w:lineRule="exact"/>
        <w:ind w:firstLine="720" w:firstLineChars="200"/>
        <w:jc w:val="left"/>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eastAsia="zh-TW"/>
        </w:rPr>
        <w:t>填报时间：</w:t>
      </w:r>
      <w:r>
        <w:rPr>
          <w:rFonts w:ascii="仿宋_GB2312" w:hAnsi="仿宋_GB2312" w:eastAsia="仿宋_GB2312" w:cs="仿宋_GB2312"/>
          <w:kern w:val="0"/>
          <w:sz w:val="36"/>
          <w:szCs w:val="36"/>
          <w:lang w:val="zh-TW" w:eastAsia="zh-TW"/>
        </w:rPr>
        <w:t>201</w:t>
      </w:r>
      <w:r>
        <w:rPr>
          <w:rFonts w:ascii="仿宋_GB2312" w:hAnsi="仿宋_GB2312" w:eastAsia="仿宋_GB2312" w:cs="仿宋_GB2312"/>
          <w:kern w:val="0"/>
          <w:sz w:val="36"/>
          <w:szCs w:val="36"/>
          <w:lang w:val="zh-TW"/>
        </w:rPr>
        <w:t>8</w:t>
      </w:r>
      <w:r>
        <w:rPr>
          <w:rFonts w:hint="eastAsia" w:ascii="仿宋_GB2312" w:hAnsi="仿宋_GB2312" w:eastAsia="仿宋_GB2312" w:cs="仿宋_GB2312"/>
          <w:kern w:val="0"/>
          <w:sz w:val="36"/>
          <w:szCs w:val="36"/>
          <w:lang w:val="zh-TW" w:eastAsia="zh-TW"/>
        </w:rPr>
        <w:t>年</w:t>
      </w:r>
      <w:r>
        <w:rPr>
          <w:rFonts w:ascii="仿宋_GB2312" w:hAnsi="仿宋_GB2312" w:eastAsia="仿宋_GB2312" w:cs="仿宋_GB2312"/>
          <w:kern w:val="0"/>
          <w:sz w:val="36"/>
          <w:szCs w:val="36"/>
          <w:lang w:val="zh-TW"/>
        </w:rPr>
        <w:t>12</w:t>
      </w:r>
      <w:r>
        <w:rPr>
          <w:rFonts w:hint="eastAsia" w:ascii="仿宋_GB2312" w:hAnsi="仿宋_GB2312" w:eastAsia="仿宋_GB2312" w:cs="仿宋_GB2312"/>
          <w:kern w:val="0"/>
          <w:sz w:val="36"/>
          <w:szCs w:val="36"/>
          <w:lang w:val="zh-TW" w:eastAsia="zh-TW"/>
        </w:rPr>
        <w:t>月</w:t>
      </w:r>
      <w:r>
        <w:rPr>
          <w:rFonts w:ascii="仿宋_GB2312" w:hAnsi="仿宋_GB2312" w:eastAsia="仿宋_GB2312" w:cs="仿宋_GB2312"/>
          <w:kern w:val="0"/>
          <w:sz w:val="36"/>
          <w:szCs w:val="36"/>
          <w:lang w:val="zh-TW"/>
        </w:rPr>
        <w:t>30</w:t>
      </w:r>
      <w:r>
        <w:rPr>
          <w:rFonts w:hint="eastAsia" w:ascii="仿宋_GB2312" w:hAnsi="仿宋_GB2312" w:eastAsia="仿宋_GB2312" w:cs="仿宋_GB2312"/>
          <w:kern w:val="0"/>
          <w:sz w:val="36"/>
          <w:szCs w:val="36"/>
          <w:lang w:val="zh-TW" w:eastAsia="zh-TW"/>
        </w:rPr>
        <w:t>日</w:t>
      </w:r>
    </w:p>
    <w:p>
      <w:pPr>
        <w:pStyle w:val="49"/>
        <w:spacing w:line="700" w:lineRule="exact"/>
        <w:ind w:firstLine="624" w:firstLineChars="200"/>
        <w:jc w:val="left"/>
        <w:rPr>
          <w:rStyle w:val="20"/>
          <w:rFonts w:hint="eastAsia" w:ascii="黑体" w:hAnsi="黑体" w:eastAsia="黑体" w:cs="Arial Unicode MS"/>
          <w:b w:val="0"/>
          <w:spacing w:val="-4"/>
          <w:sz w:val="32"/>
          <w:szCs w:val="32"/>
        </w:rPr>
      </w:pPr>
    </w:p>
    <w:p>
      <w:pPr>
        <w:pStyle w:val="49"/>
        <w:spacing w:line="700" w:lineRule="exact"/>
        <w:ind w:firstLine="624" w:firstLineChars="200"/>
        <w:jc w:val="left"/>
        <w:rPr>
          <w:rStyle w:val="20"/>
          <w:rFonts w:hint="eastAsia" w:ascii="黑体" w:hAnsi="黑体" w:eastAsia="黑体" w:cs="Arial Unicode MS"/>
          <w:b w:val="0"/>
          <w:spacing w:val="-4"/>
          <w:sz w:val="32"/>
          <w:szCs w:val="32"/>
        </w:rPr>
      </w:pPr>
    </w:p>
    <w:p>
      <w:pPr>
        <w:pStyle w:val="49"/>
        <w:spacing w:line="700" w:lineRule="exact"/>
        <w:ind w:firstLine="624" w:firstLineChars="200"/>
        <w:jc w:val="left"/>
        <w:rPr>
          <w:rStyle w:val="20"/>
          <w:rFonts w:ascii="黑体" w:hAnsi="黑体" w:eastAsia="黑体" w:cs="Arial Unicode MS"/>
          <w:b w:val="0"/>
          <w:spacing w:val="-4"/>
          <w:sz w:val="32"/>
          <w:szCs w:val="32"/>
        </w:rPr>
      </w:pPr>
      <w:r>
        <w:rPr>
          <w:rStyle w:val="20"/>
          <w:rFonts w:hint="eastAsia" w:ascii="黑体" w:hAnsi="黑体" w:eastAsia="黑体" w:cs="Arial Unicode MS"/>
          <w:b w:val="0"/>
          <w:spacing w:val="-4"/>
          <w:sz w:val="32"/>
          <w:szCs w:val="32"/>
        </w:rPr>
        <w:t>一、项目概况</w:t>
      </w:r>
    </w:p>
    <w:p>
      <w:pPr>
        <w:adjustRightInd w:val="0"/>
        <w:snapToGrid w:val="0"/>
        <w:spacing w:line="56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（一）项目单位基本情况</w:t>
      </w:r>
    </w:p>
    <w:p>
      <w:pPr>
        <w:spacing w:line="540" w:lineRule="exact"/>
        <w:ind w:firstLine="640"/>
        <w:rPr>
          <w:rFonts w:ascii="仿宋" w:hAnsi="仿宋" w:eastAsia="仿宋"/>
          <w:bCs/>
          <w:spacing w:val="-4"/>
          <w:sz w:val="32"/>
          <w:szCs w:val="32"/>
        </w:rPr>
      </w:pPr>
      <w:r>
        <w:rPr>
          <w:rFonts w:hint="eastAsia" w:ascii="仿宋" w:hAnsi="仿宋" w:eastAsia="仿宋"/>
          <w:bCs/>
          <w:spacing w:val="-4"/>
          <w:sz w:val="32"/>
          <w:szCs w:val="32"/>
        </w:rPr>
        <w:t>塔什库尔干县</w:t>
      </w:r>
      <w:r>
        <w:rPr>
          <w:rFonts w:ascii="仿宋" w:hAnsi="仿宋" w:eastAsia="仿宋"/>
          <w:bCs/>
          <w:spacing w:val="-4"/>
          <w:sz w:val="32"/>
          <w:szCs w:val="32"/>
        </w:rPr>
        <w:t>2018</w:t>
      </w:r>
      <w:r>
        <w:rPr>
          <w:rFonts w:hint="eastAsia" w:ascii="仿宋" w:hAnsi="仿宋" w:eastAsia="仿宋"/>
          <w:bCs/>
          <w:spacing w:val="-4"/>
          <w:sz w:val="32"/>
          <w:szCs w:val="32"/>
        </w:rPr>
        <w:t>年度第本次全国经济普查经费项目单位为县统计局，</w:t>
      </w:r>
      <w:r>
        <w:rPr>
          <w:rStyle w:val="20"/>
          <w:rFonts w:hint="eastAsia" w:ascii="仿宋" w:hAnsi="仿宋" w:eastAsia="仿宋"/>
          <w:b w:val="0"/>
          <w:spacing w:val="-4"/>
          <w:sz w:val="32"/>
          <w:szCs w:val="32"/>
        </w:rPr>
        <w:t>塔什库尔干县统计局作为县人民政府组成部门，属于县财政全额预算保障单位，下设事业单位统计局普查中心。我局主要承担国家统计部门统一安排部署的统计报表和统计调查项目的执行任务</w:t>
      </w:r>
      <w:r>
        <w:rPr>
          <w:rStyle w:val="20"/>
          <w:rFonts w:hint="eastAsia" w:ascii="仿宋" w:hAnsi="仿宋" w:eastAsia="仿宋"/>
          <w:b w:val="0"/>
          <w:spacing w:val="-4"/>
          <w:sz w:val="32"/>
          <w:szCs w:val="32"/>
          <w:lang w:eastAsia="zh-CN"/>
        </w:rPr>
        <w:t>，</w:t>
      </w:r>
      <w:r>
        <w:rPr>
          <w:rFonts w:hint="eastAsia" w:ascii="仿宋" w:hAnsi="仿宋" w:eastAsia="仿宋"/>
          <w:bCs/>
          <w:spacing w:val="-4"/>
          <w:sz w:val="32"/>
          <w:szCs w:val="32"/>
        </w:rPr>
        <w:t>按照国家、自治区、地区统一部署和县委、县政府的要求，会同有关部门组织全县重大的县情县力调查；统一组织各乡镇、各部门的社会经济调查，搜集、整理全县的基本统计资料，进行国民经济核算等职能。</w:t>
      </w:r>
      <w:r>
        <w:rPr>
          <w:rStyle w:val="20"/>
          <w:rFonts w:hint="eastAsia" w:ascii="仿宋" w:hAnsi="仿宋" w:eastAsia="仿宋"/>
          <w:b w:val="0"/>
          <w:spacing w:val="-4"/>
          <w:sz w:val="32"/>
          <w:szCs w:val="32"/>
        </w:rPr>
        <w:t>单位编制9人，实有在岗在编人员8人，其中行政编制3人，事业编制5人。</w:t>
      </w:r>
    </w:p>
    <w:p>
      <w:pPr>
        <w:adjustRightInd w:val="0"/>
        <w:snapToGrid w:val="0"/>
        <w:spacing w:line="56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（二）项目预算绩效目标设定情况</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1</w:t>
      </w:r>
      <w:r>
        <w:rPr>
          <w:rFonts w:hint="eastAsia" w:ascii="仿宋" w:hAnsi="仿宋" w:eastAsia="仿宋"/>
          <w:b/>
          <w:bCs/>
          <w:spacing w:val="-4"/>
          <w:sz w:val="32"/>
          <w:szCs w:val="32"/>
        </w:rPr>
        <w:t>、项目预期目标及阶段性目标</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塔什库尔干县第本次全国经济普查从</w:t>
      </w:r>
      <w:r>
        <w:rPr>
          <w:rFonts w:ascii="仿宋" w:hAnsi="仿宋" w:eastAsia="仿宋"/>
          <w:bCs/>
          <w:spacing w:val="-4"/>
          <w:sz w:val="32"/>
          <w:szCs w:val="32"/>
        </w:rPr>
        <w:t>2018</w:t>
      </w:r>
      <w:r>
        <w:rPr>
          <w:rFonts w:hint="eastAsia" w:ascii="仿宋" w:hAnsi="仿宋" w:eastAsia="仿宋"/>
          <w:bCs/>
          <w:spacing w:val="-4"/>
          <w:sz w:val="32"/>
          <w:szCs w:val="32"/>
        </w:rPr>
        <w:t>年开始到</w:t>
      </w:r>
      <w:r>
        <w:rPr>
          <w:rFonts w:ascii="仿宋" w:hAnsi="仿宋" w:eastAsia="仿宋"/>
          <w:bCs/>
          <w:spacing w:val="-4"/>
          <w:sz w:val="32"/>
          <w:szCs w:val="32"/>
        </w:rPr>
        <w:t>2019</w:t>
      </w:r>
      <w:r>
        <w:rPr>
          <w:rFonts w:hint="eastAsia" w:ascii="仿宋" w:hAnsi="仿宋" w:eastAsia="仿宋"/>
          <w:bCs/>
          <w:spacing w:val="-4"/>
          <w:sz w:val="32"/>
          <w:szCs w:val="32"/>
        </w:rPr>
        <w:t>年结束，总的目标是全面调查我县第二产业和第三产业的发展规模、布局和效益，了解产业组织、产业结构、产业技术、产业形态的现状以及各生产要素的构成，摸清全部法人单位资产负债状况和新兴产业发展情况，进一步查实各类单位的基本情况和主要产品产量、服务活动，全面准确反映供给侧结构性改革、新动能培育壮大、经济结构优化升级等方面的新进展。</w:t>
      </w:r>
      <w:r>
        <w:rPr>
          <w:rFonts w:ascii="仿宋" w:hAnsi="仿宋" w:eastAsia="仿宋"/>
          <w:bCs/>
          <w:spacing w:val="-4"/>
          <w:sz w:val="32"/>
          <w:szCs w:val="32"/>
        </w:rPr>
        <w:t>2018</w:t>
      </w:r>
      <w:r>
        <w:rPr>
          <w:rFonts w:hint="eastAsia" w:ascii="仿宋" w:hAnsi="仿宋" w:eastAsia="仿宋"/>
          <w:bCs/>
          <w:spacing w:val="-4"/>
          <w:sz w:val="32"/>
          <w:szCs w:val="32"/>
        </w:rPr>
        <w:t>年的工作目标是组建县乡普查工作机构、普查动员、宣传发动、两员选聘和培训、物质准备、清查摸底。</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2</w:t>
      </w:r>
      <w:r>
        <w:rPr>
          <w:rFonts w:hint="eastAsia" w:ascii="仿宋" w:hAnsi="仿宋" w:eastAsia="仿宋"/>
          <w:b/>
          <w:bCs/>
          <w:spacing w:val="-4"/>
          <w:sz w:val="32"/>
          <w:szCs w:val="32"/>
        </w:rPr>
        <w:t>、项目基本性质</w:t>
      </w:r>
      <w:bookmarkStart w:id="0" w:name="_GoBack"/>
      <w:bookmarkEnd w:id="0"/>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本项目性质为统计专项调查经济</w:t>
      </w:r>
      <w:r>
        <w:rPr>
          <w:rFonts w:hint="eastAsia" w:ascii="仿宋" w:hAnsi="仿宋" w:eastAsia="仿宋"/>
          <w:bCs/>
          <w:spacing w:val="-4"/>
          <w:sz w:val="32"/>
          <w:szCs w:val="32"/>
          <w:lang w:val="en-US" w:eastAsia="zh-CN"/>
        </w:rPr>
        <w:t>,</w:t>
      </w:r>
      <w:r>
        <w:rPr>
          <w:rFonts w:hint="eastAsia" w:ascii="仿宋" w:hAnsi="仿宋" w:eastAsia="仿宋"/>
          <w:bCs/>
          <w:spacing w:val="-4"/>
          <w:sz w:val="32"/>
          <w:szCs w:val="32"/>
        </w:rPr>
        <w:t>为延续项目</w:t>
      </w:r>
      <w:r>
        <w:rPr>
          <w:rFonts w:hint="eastAsia" w:ascii="仿宋" w:hAnsi="仿宋" w:eastAsia="仿宋"/>
          <w:bCs/>
          <w:spacing w:val="-4"/>
          <w:sz w:val="32"/>
          <w:szCs w:val="32"/>
          <w:lang w:eastAsia="zh-CN"/>
        </w:rPr>
        <w:t>。</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3、项目用途及范围</w:t>
      </w:r>
    </w:p>
    <w:p>
      <w:pPr>
        <w:pStyle w:val="16"/>
        <w:widowControl/>
        <w:shd w:val="clear" w:color="auto" w:fill="FFFFFF"/>
        <w:spacing w:beforeAutospacing="0" w:afterAutospacing="0" w:line="450" w:lineRule="atLeast"/>
        <w:ind w:firstLine="540"/>
        <w:rPr>
          <w:rFonts w:hint="eastAsia" w:ascii="仿宋" w:hAnsi="仿宋" w:eastAsia="仿宋"/>
          <w:bCs/>
          <w:spacing w:val="-4"/>
          <w:sz w:val="32"/>
          <w:szCs w:val="32"/>
          <w:lang w:eastAsia="zh-CN"/>
        </w:rPr>
      </w:pPr>
      <w:r>
        <w:rPr>
          <w:rFonts w:hint="eastAsia" w:ascii="仿宋" w:hAnsi="仿宋" w:eastAsia="仿宋"/>
          <w:bCs/>
          <w:spacing w:val="-4"/>
          <w:sz w:val="32"/>
          <w:szCs w:val="32"/>
        </w:rPr>
        <w:t>统一组织各乡镇、各部门的社会经济调查，搜集、整理全县的基本统计资料，进行国民经济核算等</w:t>
      </w:r>
      <w:r>
        <w:rPr>
          <w:rFonts w:hint="eastAsia" w:ascii="仿宋" w:hAnsi="仿宋" w:eastAsia="仿宋"/>
          <w:bCs/>
          <w:spacing w:val="-4"/>
          <w:sz w:val="32"/>
          <w:szCs w:val="32"/>
          <w:lang w:eastAsia="zh-CN"/>
        </w:rPr>
        <w:t>，主要用于</w:t>
      </w:r>
      <w:r>
        <w:rPr>
          <w:rFonts w:hint="eastAsia" w:ascii="仿宋" w:hAnsi="仿宋" w:eastAsia="仿宋"/>
          <w:bCs/>
          <w:spacing w:val="-4"/>
          <w:kern w:val="2"/>
          <w:sz w:val="32"/>
          <w:szCs w:val="32"/>
        </w:rPr>
        <w:t>①购置普查办公设备</w:t>
      </w:r>
      <w:r>
        <w:rPr>
          <w:rFonts w:ascii="仿宋" w:hAnsi="仿宋" w:eastAsia="仿宋"/>
          <w:bCs/>
          <w:spacing w:val="-4"/>
          <w:kern w:val="2"/>
          <w:sz w:val="32"/>
          <w:szCs w:val="32"/>
        </w:rPr>
        <w:t>15000</w:t>
      </w:r>
      <w:r>
        <w:rPr>
          <w:rFonts w:hint="eastAsia" w:ascii="仿宋" w:hAnsi="仿宋" w:eastAsia="仿宋"/>
          <w:bCs/>
          <w:spacing w:val="-4"/>
          <w:kern w:val="2"/>
          <w:sz w:val="32"/>
          <w:szCs w:val="32"/>
        </w:rPr>
        <w:t>元；②印刷费用</w:t>
      </w:r>
      <w:r>
        <w:rPr>
          <w:rFonts w:ascii="仿宋" w:hAnsi="仿宋" w:eastAsia="仿宋"/>
          <w:bCs/>
          <w:spacing w:val="-4"/>
          <w:kern w:val="2"/>
          <w:sz w:val="32"/>
          <w:szCs w:val="32"/>
        </w:rPr>
        <w:t>9600</w:t>
      </w:r>
      <w:r>
        <w:rPr>
          <w:rFonts w:hint="eastAsia" w:ascii="仿宋" w:hAnsi="仿宋" w:eastAsia="仿宋"/>
          <w:bCs/>
          <w:spacing w:val="-4"/>
          <w:kern w:val="2"/>
          <w:sz w:val="32"/>
          <w:szCs w:val="32"/>
        </w:rPr>
        <w:t>元；③办公业务费用</w:t>
      </w:r>
      <w:r>
        <w:rPr>
          <w:rFonts w:ascii="仿宋" w:hAnsi="仿宋" w:eastAsia="仿宋"/>
          <w:bCs/>
          <w:spacing w:val="-4"/>
          <w:kern w:val="2"/>
          <w:sz w:val="32"/>
          <w:szCs w:val="32"/>
        </w:rPr>
        <w:t>25000</w:t>
      </w:r>
      <w:r>
        <w:rPr>
          <w:rFonts w:hint="eastAsia" w:ascii="仿宋" w:hAnsi="仿宋" w:eastAsia="仿宋"/>
          <w:bCs/>
          <w:spacing w:val="-4"/>
          <w:kern w:val="2"/>
          <w:sz w:val="32"/>
          <w:szCs w:val="32"/>
        </w:rPr>
        <w:t>元；④临聘人员工资</w:t>
      </w:r>
      <w:r>
        <w:rPr>
          <w:rFonts w:ascii="仿宋" w:hAnsi="仿宋" w:eastAsia="仿宋"/>
          <w:bCs/>
          <w:spacing w:val="-4"/>
          <w:kern w:val="2"/>
          <w:sz w:val="32"/>
          <w:szCs w:val="32"/>
        </w:rPr>
        <w:t>48000</w:t>
      </w:r>
      <w:r>
        <w:rPr>
          <w:rFonts w:hint="eastAsia" w:ascii="仿宋" w:hAnsi="仿宋" w:eastAsia="仿宋"/>
          <w:bCs/>
          <w:spacing w:val="-4"/>
          <w:kern w:val="2"/>
          <w:sz w:val="32"/>
          <w:szCs w:val="32"/>
        </w:rPr>
        <w:t>元；⑤差旅费</w:t>
      </w:r>
      <w:r>
        <w:rPr>
          <w:rFonts w:ascii="仿宋" w:hAnsi="仿宋" w:eastAsia="仿宋"/>
          <w:bCs/>
          <w:spacing w:val="-4"/>
          <w:kern w:val="2"/>
          <w:sz w:val="32"/>
          <w:szCs w:val="32"/>
        </w:rPr>
        <w:t>54600</w:t>
      </w:r>
      <w:r>
        <w:rPr>
          <w:rFonts w:hint="eastAsia" w:ascii="仿宋" w:hAnsi="仿宋" w:eastAsia="仿宋"/>
          <w:bCs/>
          <w:spacing w:val="-4"/>
          <w:kern w:val="2"/>
          <w:sz w:val="32"/>
          <w:szCs w:val="32"/>
        </w:rPr>
        <w:t>元。</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（一）项目资金安排落实、总投入等情况分析</w:t>
      </w:r>
    </w:p>
    <w:p>
      <w:pPr>
        <w:pStyle w:val="49"/>
        <w:spacing w:line="700" w:lineRule="exact"/>
        <w:ind w:left="2278" w:leftChars="342" w:hanging="1560" w:hangingChars="500"/>
        <w:jc w:val="left"/>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zh-TW" w:eastAsia="zh-CN" w:bidi="ar-SA"/>
        </w:rPr>
        <w:t>塔什库尔干县第四次全国经济普查经费项目</w:t>
      </w:r>
      <w:r>
        <w:rPr>
          <w:rFonts w:hint="eastAsia" w:ascii="仿宋" w:hAnsi="仿宋" w:eastAsia="仿宋" w:cs="Times New Roman"/>
          <w:bCs/>
          <w:color w:val="auto"/>
          <w:spacing w:val="-4"/>
          <w:kern w:val="2"/>
          <w:sz w:val="32"/>
          <w:szCs w:val="32"/>
          <w:lang w:val="en-US" w:eastAsia="zh-CN" w:bidi="ar-SA"/>
        </w:rPr>
        <w:t>预算安排总</w:t>
      </w:r>
    </w:p>
    <w:p>
      <w:pPr>
        <w:pStyle w:val="49"/>
        <w:spacing w:line="700" w:lineRule="exact"/>
        <w:jc w:val="left"/>
        <w:rPr>
          <w:rFonts w:ascii="仿宋" w:hAnsi="仿宋" w:eastAsia="仿宋"/>
          <w:bCs/>
          <w:spacing w:val="-4"/>
          <w:kern w:val="2"/>
          <w:sz w:val="32"/>
          <w:szCs w:val="32"/>
        </w:rPr>
      </w:pPr>
      <w:r>
        <w:rPr>
          <w:rFonts w:hint="eastAsia" w:ascii="仿宋" w:hAnsi="仿宋" w:eastAsia="仿宋" w:cs="Times New Roman"/>
          <w:bCs/>
          <w:color w:val="auto"/>
          <w:spacing w:val="-4"/>
          <w:kern w:val="2"/>
          <w:sz w:val="32"/>
          <w:szCs w:val="32"/>
          <w:lang w:val="en-US" w:eastAsia="zh-CN" w:bidi="ar-SA"/>
        </w:rPr>
        <w:t>额为15.22万元，其中财政资金15.22万，2018年实际收到预算资金15.22万元，</w:t>
      </w:r>
      <w:r>
        <w:rPr>
          <w:rFonts w:hint="eastAsia" w:ascii="仿宋" w:hAnsi="仿宋" w:eastAsia="仿宋"/>
          <w:bCs/>
          <w:spacing w:val="-4"/>
          <w:kern w:val="2"/>
          <w:sz w:val="32"/>
          <w:szCs w:val="32"/>
        </w:rPr>
        <w:t>县财政已全部拔付给县统计局。</w:t>
      </w:r>
    </w:p>
    <w:p>
      <w:pPr>
        <w:numPr>
          <w:ilvl w:val="0"/>
          <w:numId w:val="1"/>
        </w:numPr>
        <w:adjustRightInd w:val="0"/>
        <w:snapToGrid w:val="0"/>
        <w:spacing w:line="560" w:lineRule="exact"/>
        <w:ind w:firstLine="627" w:firstLineChars="200"/>
        <w:outlineLvl w:val="0"/>
        <w:rPr>
          <w:rStyle w:val="20"/>
          <w:rFonts w:hint="eastAsia" w:ascii="楷体" w:hAnsi="楷体" w:eastAsia="楷体"/>
          <w:spacing w:val="-4"/>
          <w:sz w:val="32"/>
          <w:szCs w:val="32"/>
        </w:rPr>
      </w:pPr>
      <w:r>
        <w:rPr>
          <w:rStyle w:val="20"/>
          <w:rFonts w:hint="eastAsia" w:ascii="楷体" w:hAnsi="楷体" w:eastAsia="楷体"/>
          <w:spacing w:val="-4"/>
          <w:sz w:val="32"/>
          <w:szCs w:val="32"/>
        </w:rPr>
        <w:t>项目资金实际使用情况分析</w:t>
      </w:r>
    </w:p>
    <w:p>
      <w:pPr>
        <w:pStyle w:val="16"/>
        <w:widowControl/>
        <w:shd w:val="clear" w:color="auto" w:fill="FFFFFF"/>
        <w:spacing w:beforeAutospacing="0" w:afterAutospacing="0" w:line="450" w:lineRule="atLeast"/>
        <w:ind w:firstLine="540"/>
        <w:rPr>
          <w:rFonts w:ascii="仿宋" w:hAnsi="仿宋" w:eastAsia="仿宋"/>
          <w:bCs/>
          <w:spacing w:val="-4"/>
          <w:kern w:val="2"/>
          <w:sz w:val="32"/>
          <w:szCs w:val="32"/>
        </w:rPr>
      </w:pPr>
      <w:r>
        <w:rPr>
          <w:rFonts w:ascii="仿宋" w:hAnsi="仿宋" w:eastAsia="仿宋"/>
          <w:bCs/>
          <w:color w:val="auto"/>
          <w:spacing w:val="-4"/>
          <w:kern w:val="2"/>
          <w:sz w:val="32"/>
          <w:szCs w:val="32"/>
        </w:rPr>
        <w:t>2018</w:t>
      </w:r>
      <w:r>
        <w:rPr>
          <w:rFonts w:hint="eastAsia" w:ascii="仿宋" w:hAnsi="仿宋" w:eastAsia="仿宋"/>
          <w:bCs/>
          <w:color w:val="auto"/>
          <w:spacing w:val="-4"/>
          <w:kern w:val="2"/>
          <w:sz w:val="32"/>
          <w:szCs w:val="32"/>
        </w:rPr>
        <w:t>年度经济普查经费实际支出金额为</w:t>
      </w:r>
      <w:r>
        <w:rPr>
          <w:rFonts w:ascii="仿宋" w:hAnsi="仿宋" w:eastAsia="仿宋"/>
          <w:bCs/>
          <w:color w:val="auto"/>
          <w:spacing w:val="-4"/>
          <w:kern w:val="2"/>
          <w:sz w:val="32"/>
          <w:szCs w:val="32"/>
        </w:rPr>
        <w:t>15.22</w:t>
      </w:r>
      <w:r>
        <w:rPr>
          <w:rFonts w:hint="eastAsia" w:ascii="仿宋" w:hAnsi="仿宋" w:eastAsia="仿宋"/>
          <w:bCs/>
          <w:color w:val="auto"/>
          <w:spacing w:val="-4"/>
          <w:kern w:val="2"/>
          <w:sz w:val="32"/>
          <w:szCs w:val="32"/>
        </w:rPr>
        <w:t>万元，</w:t>
      </w:r>
      <w:r>
        <w:rPr>
          <w:rFonts w:hint="eastAsia" w:ascii="仿宋" w:hAnsi="仿宋" w:eastAsia="仿宋"/>
          <w:bCs/>
          <w:color w:val="auto"/>
          <w:spacing w:val="-4"/>
          <w:sz w:val="32"/>
          <w:szCs w:val="32"/>
        </w:rPr>
        <w:t>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kern w:val="2"/>
          <w:sz w:val="32"/>
          <w:szCs w:val="32"/>
        </w:rPr>
        <w:t>其中大额支出有：①购置普查办公设备</w:t>
      </w:r>
      <w:r>
        <w:rPr>
          <w:rFonts w:ascii="仿宋" w:hAnsi="仿宋" w:eastAsia="仿宋"/>
          <w:bCs/>
          <w:color w:val="auto"/>
          <w:spacing w:val="-4"/>
          <w:kern w:val="2"/>
          <w:sz w:val="32"/>
          <w:szCs w:val="32"/>
        </w:rPr>
        <w:t>15000</w:t>
      </w:r>
      <w:r>
        <w:rPr>
          <w:rFonts w:hint="eastAsia" w:ascii="仿宋" w:hAnsi="仿宋" w:eastAsia="仿宋"/>
          <w:bCs/>
          <w:color w:val="auto"/>
          <w:spacing w:val="-4"/>
          <w:kern w:val="2"/>
          <w:sz w:val="32"/>
          <w:szCs w:val="32"/>
        </w:rPr>
        <w:t>元；②印刷费</w:t>
      </w:r>
      <w:r>
        <w:rPr>
          <w:rFonts w:hint="eastAsia" w:ascii="仿宋" w:hAnsi="仿宋" w:eastAsia="仿宋"/>
          <w:bCs/>
          <w:spacing w:val="-4"/>
          <w:kern w:val="2"/>
          <w:sz w:val="32"/>
          <w:szCs w:val="32"/>
        </w:rPr>
        <w:t>用</w:t>
      </w:r>
      <w:r>
        <w:rPr>
          <w:rFonts w:ascii="仿宋" w:hAnsi="仿宋" w:eastAsia="仿宋"/>
          <w:bCs/>
          <w:spacing w:val="-4"/>
          <w:kern w:val="2"/>
          <w:sz w:val="32"/>
          <w:szCs w:val="32"/>
        </w:rPr>
        <w:t>9600</w:t>
      </w:r>
      <w:r>
        <w:rPr>
          <w:rFonts w:hint="eastAsia" w:ascii="仿宋" w:hAnsi="仿宋" w:eastAsia="仿宋"/>
          <w:bCs/>
          <w:spacing w:val="-4"/>
          <w:kern w:val="2"/>
          <w:sz w:val="32"/>
          <w:szCs w:val="32"/>
        </w:rPr>
        <w:t>元；③办公业务费用</w:t>
      </w:r>
      <w:r>
        <w:rPr>
          <w:rFonts w:ascii="仿宋" w:hAnsi="仿宋" w:eastAsia="仿宋"/>
          <w:bCs/>
          <w:spacing w:val="-4"/>
          <w:kern w:val="2"/>
          <w:sz w:val="32"/>
          <w:szCs w:val="32"/>
        </w:rPr>
        <w:t>25000</w:t>
      </w:r>
      <w:r>
        <w:rPr>
          <w:rFonts w:hint="eastAsia" w:ascii="仿宋" w:hAnsi="仿宋" w:eastAsia="仿宋"/>
          <w:bCs/>
          <w:spacing w:val="-4"/>
          <w:kern w:val="2"/>
          <w:sz w:val="32"/>
          <w:szCs w:val="32"/>
        </w:rPr>
        <w:t>元；④临聘人员工资</w:t>
      </w:r>
      <w:r>
        <w:rPr>
          <w:rFonts w:ascii="仿宋" w:hAnsi="仿宋" w:eastAsia="仿宋"/>
          <w:bCs/>
          <w:spacing w:val="-4"/>
          <w:kern w:val="2"/>
          <w:sz w:val="32"/>
          <w:szCs w:val="32"/>
        </w:rPr>
        <w:t>48000</w:t>
      </w:r>
      <w:r>
        <w:rPr>
          <w:rFonts w:hint="eastAsia" w:ascii="仿宋" w:hAnsi="仿宋" w:eastAsia="仿宋"/>
          <w:bCs/>
          <w:spacing w:val="-4"/>
          <w:kern w:val="2"/>
          <w:sz w:val="32"/>
          <w:szCs w:val="32"/>
        </w:rPr>
        <w:t>元；⑤差旅费</w:t>
      </w:r>
      <w:r>
        <w:rPr>
          <w:rFonts w:ascii="仿宋" w:hAnsi="仿宋" w:eastAsia="仿宋"/>
          <w:bCs/>
          <w:spacing w:val="-4"/>
          <w:kern w:val="2"/>
          <w:sz w:val="32"/>
          <w:szCs w:val="32"/>
        </w:rPr>
        <w:t>54600</w:t>
      </w:r>
      <w:r>
        <w:rPr>
          <w:rFonts w:hint="eastAsia" w:ascii="仿宋" w:hAnsi="仿宋" w:eastAsia="仿宋"/>
          <w:bCs/>
          <w:spacing w:val="-4"/>
          <w:kern w:val="2"/>
          <w:sz w:val="32"/>
          <w:szCs w:val="32"/>
        </w:rPr>
        <w:t>元。</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县统计局设立了第四次全国</w:t>
      </w:r>
      <w:r>
        <w:rPr>
          <w:rFonts w:hint="eastAsia" w:ascii="仿宋" w:hAnsi="仿宋" w:eastAsia="仿宋"/>
          <w:bCs/>
          <w:spacing w:val="-4"/>
          <w:sz w:val="32"/>
          <w:szCs w:val="32"/>
          <w:lang w:eastAsia="zh-CN"/>
        </w:rPr>
        <w:t>经济</w:t>
      </w:r>
      <w:r>
        <w:rPr>
          <w:rFonts w:hint="eastAsia" w:ascii="仿宋" w:hAnsi="仿宋" w:eastAsia="仿宋"/>
          <w:bCs/>
          <w:spacing w:val="-4"/>
          <w:sz w:val="32"/>
          <w:szCs w:val="32"/>
        </w:rPr>
        <w:t>普查经费专项，实行资金的专项管理。在经费报销时，经局财经会签小组签字审批同意后，按规定办理报账手续，保障了资金使用的公开透明。不存在截留、挤占、挪用、虚列支出等情况。</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（一）项目组织情况分析</w:t>
      </w:r>
    </w:p>
    <w:p>
      <w:pPr>
        <w:adjustRightInd w:val="0"/>
        <w:snapToGrid w:val="0"/>
        <w:spacing w:line="560" w:lineRule="exact"/>
        <w:ind w:firstLine="624" w:firstLineChars="200"/>
      </w:pPr>
      <w:r>
        <w:rPr>
          <w:rFonts w:hint="eastAsia" w:ascii="仿宋" w:hAnsi="仿宋" w:eastAsia="仿宋"/>
          <w:bCs/>
          <w:spacing w:val="-4"/>
          <w:sz w:val="32"/>
          <w:szCs w:val="32"/>
        </w:rPr>
        <w:t>为加强对普查工作的组织领导，塔什库尔干县人民政府成立了以县长为组长的县第四次全国经济普查领导小组，领导小组办公室设在县统计局，具体负责经济普查的日常组织和协调工作。各乡镇人民政府和有关部门，按照“全国统一领导、部门分工协作、地方分级负责、各方共同参与”的原则，均设立了相应的普查领导小组及其办公室，负责组织实施其辖区内或所在部门的经济普查工作。</w:t>
      </w:r>
    </w:p>
    <w:p>
      <w:pPr>
        <w:numPr>
          <w:ilvl w:val="0"/>
          <w:numId w:val="1"/>
        </w:numPr>
        <w:adjustRightInd w:val="0"/>
        <w:snapToGrid w:val="0"/>
        <w:spacing w:line="560" w:lineRule="exact"/>
        <w:ind w:left="0" w:leftChars="0" w:firstLine="627" w:firstLineChars="200"/>
        <w:outlineLvl w:val="0"/>
        <w:rPr>
          <w:rStyle w:val="20"/>
          <w:rFonts w:hint="eastAsia" w:ascii="楷体" w:hAnsi="楷体" w:eastAsia="楷体"/>
          <w:spacing w:val="-4"/>
          <w:sz w:val="32"/>
          <w:szCs w:val="32"/>
        </w:rPr>
      </w:pPr>
      <w:r>
        <w:rPr>
          <w:rStyle w:val="20"/>
          <w:rFonts w:hint="eastAsia" w:ascii="楷体" w:hAnsi="楷体" w:eastAsia="楷体"/>
          <w:spacing w:val="-4"/>
          <w:sz w:val="32"/>
          <w:szCs w:val="32"/>
        </w:rPr>
        <w:t>项目管理情况分析</w:t>
      </w:r>
    </w:p>
    <w:p>
      <w:pPr>
        <w:adjustRightInd w:val="0"/>
        <w:snapToGrid w:val="0"/>
        <w:spacing w:line="560" w:lineRule="exact"/>
        <w:ind w:firstLine="624" w:firstLineChars="200"/>
        <w:rPr>
          <w:rStyle w:val="20"/>
          <w:rFonts w:hint="eastAsia" w:ascii="楷体" w:hAnsi="楷体" w:eastAsia="楷体"/>
          <w:spacing w:val="-4"/>
          <w:sz w:val="32"/>
          <w:szCs w:val="32"/>
        </w:rPr>
      </w:pPr>
      <w:r>
        <w:rPr>
          <w:rFonts w:hint="eastAsia" w:ascii="仿宋" w:hAnsi="仿宋" w:eastAsia="仿宋"/>
          <w:bCs/>
          <w:color w:val="auto"/>
          <w:spacing w:val="-4"/>
          <w:sz w:val="32"/>
          <w:szCs w:val="32"/>
        </w:rPr>
        <w:t>项目的实施遵守相关法律法规和业务管理规定，项目资料齐全并及时归档。已建立《</w:t>
      </w:r>
      <w:r>
        <w:rPr>
          <w:rFonts w:hint="eastAsia" w:ascii="仿宋" w:hAnsi="仿宋" w:eastAsia="仿宋"/>
          <w:bCs/>
          <w:color w:val="auto"/>
          <w:spacing w:val="-4"/>
          <w:sz w:val="32"/>
          <w:szCs w:val="32"/>
          <w:lang w:eastAsia="zh-CN"/>
        </w:rPr>
        <w:t>经济普查工作以建立</w:t>
      </w:r>
      <w:r>
        <w:rPr>
          <w:rFonts w:hint="eastAsia" w:ascii="仿宋" w:hAnsi="仿宋" w:eastAsia="仿宋"/>
          <w:bCs/>
          <w:color w:val="auto"/>
          <w:spacing w:val="-4"/>
          <w:sz w:val="32"/>
          <w:szCs w:val="32"/>
        </w:rPr>
        <w:t>日常检查监督检查机制》，不定期对项目进度情况进行督导检查，</w:t>
      </w:r>
      <w:r>
        <w:rPr>
          <w:rFonts w:hint="eastAsia" w:ascii="仿宋" w:hAnsi="仿宋" w:eastAsia="仿宋"/>
          <w:bCs/>
          <w:spacing w:val="-4"/>
          <w:sz w:val="32"/>
          <w:szCs w:val="32"/>
        </w:rPr>
        <w:t>塔什库尔干县第四次全国经济普查领导小组根据各成员单位的性质及经济普查的要求，印发了《塔什库尔干县第四次全国经济普查领导小组成员单位职责分工的通知》、《关于塔什库尔干县第四次全国经济普查领导小组办公室组成人员及其职责分工的通知》，明确了办公室各成员的分工及岗位职责；为更好的落实各乡镇及各成员单位的责任，塔什库尔干县于</w:t>
      </w:r>
      <w:r>
        <w:rPr>
          <w:rFonts w:ascii="仿宋" w:hAnsi="仿宋" w:eastAsia="仿宋"/>
          <w:bCs/>
          <w:spacing w:val="-4"/>
          <w:sz w:val="32"/>
          <w:szCs w:val="32"/>
        </w:rPr>
        <w:t>9</w:t>
      </w:r>
      <w:r>
        <w:rPr>
          <w:rFonts w:hint="eastAsia" w:ascii="仿宋" w:hAnsi="仿宋" w:eastAsia="仿宋"/>
          <w:bCs/>
          <w:spacing w:val="-4"/>
          <w:sz w:val="32"/>
          <w:szCs w:val="32"/>
        </w:rPr>
        <w:t>月</w:t>
      </w:r>
      <w:r>
        <w:rPr>
          <w:rFonts w:ascii="仿宋" w:hAnsi="仿宋" w:eastAsia="仿宋"/>
          <w:bCs/>
          <w:spacing w:val="-4"/>
          <w:sz w:val="32"/>
          <w:szCs w:val="32"/>
        </w:rPr>
        <w:t>14</w:t>
      </w:r>
      <w:r>
        <w:rPr>
          <w:rFonts w:hint="eastAsia" w:ascii="仿宋" w:hAnsi="仿宋" w:eastAsia="仿宋"/>
          <w:bCs/>
          <w:spacing w:val="-4"/>
          <w:sz w:val="32"/>
          <w:szCs w:val="32"/>
        </w:rPr>
        <w:t>日召开了全县第四次全国经济普查工作动员会议，</w:t>
      </w:r>
      <w:r>
        <w:rPr>
          <w:rFonts w:ascii="仿宋" w:hAnsi="仿宋" w:eastAsia="仿宋"/>
          <w:bCs/>
          <w:spacing w:val="-4"/>
          <w:sz w:val="32"/>
          <w:szCs w:val="32"/>
        </w:rPr>
        <w:t>10</w:t>
      </w:r>
      <w:r>
        <w:rPr>
          <w:rFonts w:hint="eastAsia" w:ascii="仿宋" w:hAnsi="仿宋" w:eastAsia="仿宋"/>
          <w:bCs/>
          <w:spacing w:val="-4"/>
          <w:sz w:val="32"/>
          <w:szCs w:val="32"/>
        </w:rPr>
        <w:t>月份，县经普办对全县</w:t>
      </w:r>
      <w:r>
        <w:rPr>
          <w:rFonts w:ascii="仿宋" w:hAnsi="仿宋" w:eastAsia="仿宋"/>
          <w:bCs/>
          <w:spacing w:val="-4"/>
          <w:sz w:val="32"/>
          <w:szCs w:val="32"/>
        </w:rPr>
        <w:t>12</w:t>
      </w:r>
      <w:r>
        <w:rPr>
          <w:rFonts w:hint="eastAsia" w:ascii="仿宋" w:hAnsi="仿宋" w:eastAsia="仿宋"/>
          <w:bCs/>
          <w:spacing w:val="-4"/>
          <w:sz w:val="32"/>
          <w:szCs w:val="32"/>
        </w:rPr>
        <w:t>个乡镇经济普查机构、人员、办公场所及单位清查完成情况进行了专项督查。</w:t>
      </w:r>
      <w:r>
        <w:rPr>
          <w:rFonts w:hint="eastAsia" w:ascii="仿宋" w:hAnsi="仿宋" w:eastAsia="仿宋"/>
          <w:bCs/>
          <w:color w:val="auto"/>
          <w:spacing w:val="-4"/>
          <w:sz w:val="32"/>
          <w:szCs w:val="32"/>
        </w:rPr>
        <w:t>对检查过程中发现的问题及时督促整改，确保了项目按时保质完成</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outlineLvl w:val="0"/>
        <w:rPr>
          <w:rStyle w:val="20"/>
          <w:rFonts w:ascii="黑体" w:hAnsi="黑体" w:eastAsia="黑体"/>
        </w:rPr>
      </w:pPr>
      <w:r>
        <w:rPr>
          <w:rStyle w:val="20"/>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20"/>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hint="eastAsia" w:ascii="仿宋" w:hAnsi="仿宋" w:eastAsia="仿宋"/>
          <w:bCs/>
          <w:color w:val="auto"/>
          <w:spacing w:val="-4"/>
          <w:sz w:val="32"/>
          <w:szCs w:val="32"/>
        </w:rPr>
        <w:t>个，二级指标</w:t>
      </w:r>
      <w:r>
        <w:rPr>
          <w:rFonts w:hint="eastAsia" w:ascii="仿宋" w:hAnsi="仿宋" w:eastAsia="仿宋"/>
          <w:bCs/>
          <w:color w:val="auto"/>
          <w:spacing w:val="-4"/>
          <w:sz w:val="32"/>
          <w:szCs w:val="32"/>
          <w:lang w:val="en-US" w:eastAsia="zh-CN"/>
        </w:rPr>
        <w:t>9</w:t>
      </w:r>
      <w:r>
        <w:rPr>
          <w:rFonts w:hint="eastAsia" w:ascii="仿宋" w:hAnsi="仿宋" w:eastAsia="仿宋"/>
          <w:bCs/>
          <w:color w:val="auto"/>
          <w:spacing w:val="-4"/>
          <w:sz w:val="32"/>
          <w:szCs w:val="32"/>
        </w:rPr>
        <w:t>个，三级指标</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rPr>
        <w:t>个，其中已完成三级指标</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rPr>
        <w:t>个，指标完成率为</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20"/>
          <w:rFonts w:hint="eastAsia" w:ascii="仿宋" w:hAnsi="仿宋" w:eastAsia="仿宋"/>
          <w:b w:val="0"/>
          <w:color w:val="auto"/>
          <w:spacing w:val="-4"/>
          <w:sz w:val="32"/>
          <w:szCs w:val="32"/>
          <w:lang w:eastAsia="zh-CN"/>
        </w:rPr>
      </w:pPr>
      <w:r>
        <w:rPr>
          <w:rStyle w:val="20"/>
          <w:rFonts w:hint="eastAsia" w:ascii="仿宋" w:hAnsi="仿宋" w:eastAsia="仿宋"/>
          <w:b w:val="0"/>
          <w:color w:val="auto"/>
          <w:spacing w:val="-4"/>
          <w:sz w:val="32"/>
          <w:szCs w:val="32"/>
        </w:rPr>
        <w:t>经济性：</w:t>
      </w:r>
      <w:r>
        <w:rPr>
          <w:rStyle w:val="20"/>
          <w:rFonts w:hint="eastAsia" w:ascii="仿宋" w:hAnsi="仿宋" w:eastAsia="仿宋"/>
          <w:b w:val="0"/>
          <w:color w:val="auto"/>
          <w:spacing w:val="-4"/>
          <w:sz w:val="32"/>
          <w:szCs w:val="32"/>
          <w:lang w:eastAsia="zh-CN"/>
        </w:rPr>
        <w:t>财政资金按照普查工作进度拨付。</w:t>
      </w:r>
    </w:p>
    <w:p>
      <w:pPr>
        <w:adjustRightInd w:val="0"/>
        <w:snapToGrid w:val="0"/>
        <w:spacing w:line="560" w:lineRule="exact"/>
        <w:ind w:firstLine="624" w:firstLineChars="200"/>
        <w:rPr>
          <w:rStyle w:val="20"/>
          <w:rFonts w:ascii="仿宋" w:hAnsi="仿宋" w:eastAsia="仿宋"/>
          <w:b w:val="0"/>
          <w:color w:val="auto"/>
          <w:spacing w:val="-4"/>
          <w:sz w:val="32"/>
          <w:szCs w:val="32"/>
        </w:rPr>
      </w:pPr>
      <w:r>
        <w:rPr>
          <w:rStyle w:val="20"/>
          <w:rFonts w:hint="eastAsia" w:ascii="仿宋" w:hAnsi="仿宋" w:eastAsia="仿宋"/>
          <w:b w:val="0"/>
          <w:color w:val="auto"/>
          <w:spacing w:val="-4"/>
          <w:sz w:val="32"/>
          <w:szCs w:val="32"/>
        </w:rPr>
        <w:t>效率性：</w:t>
      </w:r>
      <w:r>
        <w:rPr>
          <w:rStyle w:val="20"/>
          <w:rFonts w:hint="eastAsia" w:ascii="仿宋" w:hAnsi="仿宋" w:eastAsia="仿宋"/>
          <w:b w:val="0"/>
          <w:color w:val="auto"/>
          <w:spacing w:val="-4"/>
          <w:sz w:val="32"/>
          <w:szCs w:val="32"/>
          <w:lang w:eastAsia="zh-CN"/>
        </w:rPr>
        <w:t>此</w:t>
      </w:r>
      <w:r>
        <w:rPr>
          <w:rStyle w:val="20"/>
          <w:rFonts w:hint="eastAsia" w:ascii="仿宋" w:hAnsi="仿宋" w:eastAsia="仿宋"/>
          <w:b w:val="0"/>
          <w:color w:val="auto"/>
          <w:spacing w:val="-4"/>
          <w:sz w:val="32"/>
          <w:szCs w:val="32"/>
        </w:rPr>
        <w:t>项目的实施进度和完成质量</w:t>
      </w:r>
      <w:r>
        <w:rPr>
          <w:rStyle w:val="20"/>
          <w:rFonts w:hint="eastAsia" w:ascii="仿宋" w:hAnsi="仿宋" w:eastAsia="仿宋"/>
          <w:b w:val="0"/>
          <w:color w:val="auto"/>
          <w:spacing w:val="-4"/>
          <w:sz w:val="32"/>
          <w:szCs w:val="32"/>
          <w:lang w:eastAsia="zh-CN"/>
        </w:rPr>
        <w:t>均达到</w:t>
      </w:r>
      <w:r>
        <w:rPr>
          <w:rStyle w:val="20"/>
          <w:rFonts w:hint="eastAsia" w:ascii="仿宋" w:hAnsi="仿宋" w:eastAsia="仿宋"/>
          <w:b w:val="0"/>
          <w:color w:val="auto"/>
          <w:spacing w:val="-4"/>
          <w:sz w:val="32"/>
          <w:szCs w:val="32"/>
          <w:lang w:val="en-US" w:eastAsia="zh-CN"/>
        </w:rPr>
        <w:t>100%</w:t>
      </w:r>
      <w:r>
        <w:rPr>
          <w:rStyle w:val="20"/>
          <w:rFonts w:hint="eastAsia" w:ascii="仿宋" w:hAnsi="仿宋" w:eastAsia="仿宋"/>
          <w:b w:val="0"/>
          <w:color w:val="auto"/>
          <w:spacing w:val="-4"/>
          <w:sz w:val="32"/>
          <w:szCs w:val="32"/>
        </w:rPr>
        <w:t>。</w:t>
      </w:r>
    </w:p>
    <w:p>
      <w:pPr>
        <w:adjustRightInd w:val="0"/>
        <w:snapToGrid w:val="0"/>
        <w:spacing w:line="560" w:lineRule="exact"/>
        <w:ind w:firstLine="624" w:firstLineChars="200"/>
        <w:rPr>
          <w:rStyle w:val="20"/>
          <w:rFonts w:ascii="仿宋" w:hAnsi="仿宋" w:eastAsia="仿宋"/>
          <w:b w:val="0"/>
          <w:color w:val="auto"/>
          <w:spacing w:val="-4"/>
          <w:sz w:val="32"/>
          <w:szCs w:val="32"/>
        </w:rPr>
      </w:pPr>
      <w:r>
        <w:rPr>
          <w:rStyle w:val="20"/>
          <w:rFonts w:hint="eastAsia" w:ascii="仿宋" w:hAnsi="仿宋" w:eastAsia="仿宋"/>
          <w:b w:val="0"/>
          <w:color w:val="auto"/>
          <w:spacing w:val="-4"/>
          <w:sz w:val="32"/>
          <w:szCs w:val="32"/>
        </w:rPr>
        <w:t>效益性：</w:t>
      </w:r>
      <w:r>
        <w:rPr>
          <w:rStyle w:val="20"/>
          <w:rFonts w:hint="eastAsia" w:ascii="仿宋" w:hAnsi="仿宋" w:eastAsia="仿宋"/>
          <w:b w:val="0"/>
          <w:color w:val="auto"/>
          <w:spacing w:val="-4"/>
          <w:sz w:val="32"/>
          <w:szCs w:val="32"/>
          <w:lang w:eastAsia="zh-CN"/>
        </w:rPr>
        <w:t>全面掌握全县经济收入情况</w:t>
      </w:r>
      <w:r>
        <w:rPr>
          <w:rStyle w:val="20"/>
          <w:rFonts w:hint="eastAsia" w:ascii="仿宋" w:hAnsi="仿宋" w:eastAsia="仿宋"/>
          <w:b w:val="0"/>
          <w:color w:val="auto"/>
          <w:spacing w:val="-4"/>
          <w:sz w:val="32"/>
          <w:szCs w:val="32"/>
        </w:rPr>
        <w:t>。</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ascii="仿宋" w:hAnsi="仿宋" w:eastAsia="仿宋"/>
          <w:color w:val="auto"/>
          <w:spacing w:val="-4"/>
          <w:sz w:val="32"/>
          <w:szCs w:val="32"/>
        </w:rPr>
        <w:t>2018</w:t>
      </w:r>
      <w:r>
        <w:rPr>
          <w:rFonts w:hint="eastAsia" w:ascii="仿宋" w:hAnsi="仿宋" w:eastAsia="仿宋"/>
          <w:color w:val="auto"/>
          <w:spacing w:val="-4"/>
          <w:sz w:val="32"/>
          <w:szCs w:val="32"/>
        </w:rPr>
        <w:t>年本项目绩效目标全部达成，不存在未完成原因分析。</w:t>
      </w:r>
    </w:p>
    <w:p>
      <w:pPr>
        <w:adjustRightInd w:val="0"/>
        <w:snapToGrid w:val="0"/>
        <w:spacing w:line="560" w:lineRule="exact"/>
        <w:ind w:firstLine="624" w:firstLineChars="200"/>
        <w:outlineLvl w:val="0"/>
        <w:rPr>
          <w:rStyle w:val="20"/>
          <w:rFonts w:ascii="黑体" w:hAnsi="黑体" w:eastAsia="黑体"/>
          <w:b w:val="0"/>
          <w:color w:val="auto"/>
          <w:spacing w:val="-4"/>
          <w:sz w:val="32"/>
          <w:szCs w:val="32"/>
        </w:rPr>
      </w:pPr>
      <w:r>
        <w:rPr>
          <w:rStyle w:val="20"/>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color w:val="auto"/>
          <w:spacing w:val="-4"/>
          <w:sz w:val="32"/>
          <w:szCs w:val="32"/>
        </w:rPr>
        <w:t>2019</w:t>
      </w:r>
      <w:r>
        <w:rPr>
          <w:rFonts w:hint="eastAsia" w:ascii="仿宋" w:hAnsi="仿宋" w:eastAsia="仿宋"/>
          <w:bCs/>
          <w:color w:val="auto"/>
          <w:spacing w:val="-4"/>
          <w:sz w:val="32"/>
          <w:szCs w:val="32"/>
        </w:rPr>
        <w:t>年</w:t>
      </w:r>
      <w:r>
        <w:rPr>
          <w:rFonts w:ascii="仿宋" w:hAnsi="仿宋" w:eastAsia="仿宋"/>
          <w:bCs/>
          <w:color w:val="auto"/>
          <w:spacing w:val="-4"/>
          <w:sz w:val="32"/>
          <w:szCs w:val="32"/>
        </w:rPr>
        <w:t>1</w:t>
      </w:r>
      <w:r>
        <w:rPr>
          <w:rFonts w:hint="eastAsia" w:ascii="仿宋" w:hAnsi="仿宋" w:eastAsia="仿宋"/>
          <w:bCs/>
          <w:color w:val="auto"/>
          <w:spacing w:val="-4"/>
          <w:sz w:val="32"/>
          <w:szCs w:val="32"/>
        </w:rPr>
        <w:t>月</w:t>
      </w:r>
      <w:r>
        <w:rPr>
          <w:rFonts w:ascii="仿宋" w:hAnsi="仿宋" w:eastAsia="仿宋"/>
          <w:bCs/>
          <w:color w:val="auto"/>
          <w:spacing w:val="-4"/>
          <w:sz w:val="32"/>
          <w:szCs w:val="32"/>
        </w:rPr>
        <w:t>1</w:t>
      </w:r>
      <w:r>
        <w:rPr>
          <w:rFonts w:hint="eastAsia" w:ascii="仿宋" w:hAnsi="仿宋" w:eastAsia="仿宋"/>
          <w:bCs/>
          <w:color w:val="auto"/>
          <w:spacing w:val="-4"/>
          <w:sz w:val="32"/>
          <w:szCs w:val="32"/>
        </w:rPr>
        <w:t>日塔什库尔干县第四次全国经济普查按照地区经普办统一安排部署，正式启动入户登记工作，计</w:t>
      </w:r>
      <w:r>
        <w:rPr>
          <w:rFonts w:hint="eastAsia" w:ascii="仿宋" w:hAnsi="仿宋" w:eastAsia="仿宋"/>
          <w:bCs/>
          <w:spacing w:val="-4"/>
          <w:sz w:val="32"/>
          <w:szCs w:val="32"/>
        </w:rPr>
        <w:t>划于</w:t>
      </w:r>
      <w:r>
        <w:rPr>
          <w:rFonts w:ascii="仿宋" w:hAnsi="仿宋" w:eastAsia="仿宋"/>
          <w:bCs/>
          <w:spacing w:val="-4"/>
          <w:sz w:val="32"/>
          <w:szCs w:val="32"/>
        </w:rPr>
        <w:t>2019</w:t>
      </w:r>
      <w:r>
        <w:rPr>
          <w:rFonts w:hint="eastAsia" w:ascii="仿宋" w:hAnsi="仿宋" w:eastAsia="仿宋"/>
          <w:bCs/>
          <w:spacing w:val="-4"/>
          <w:sz w:val="32"/>
          <w:szCs w:val="32"/>
        </w:rPr>
        <w:t>年</w:t>
      </w:r>
      <w:r>
        <w:rPr>
          <w:rFonts w:ascii="仿宋" w:hAnsi="仿宋" w:eastAsia="仿宋"/>
          <w:bCs/>
          <w:spacing w:val="-4"/>
          <w:sz w:val="32"/>
          <w:szCs w:val="32"/>
        </w:rPr>
        <w:t>4</w:t>
      </w:r>
      <w:r>
        <w:rPr>
          <w:rFonts w:hint="eastAsia" w:ascii="仿宋" w:hAnsi="仿宋" w:eastAsia="仿宋"/>
          <w:bCs/>
          <w:spacing w:val="-4"/>
          <w:sz w:val="32"/>
          <w:szCs w:val="32"/>
        </w:rPr>
        <w:t>月份全部完成经济普查入户登记工作。</w:t>
      </w:r>
    </w:p>
    <w:p>
      <w:pPr>
        <w:adjustRightInd w:val="0"/>
        <w:snapToGrid w:val="0"/>
        <w:spacing w:line="56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1</w:t>
      </w:r>
      <w:r>
        <w:rPr>
          <w:rFonts w:hint="eastAsia" w:ascii="仿宋" w:hAnsi="仿宋" w:eastAsia="仿宋"/>
          <w:bCs/>
          <w:spacing w:val="-4"/>
          <w:sz w:val="32"/>
          <w:szCs w:val="32"/>
        </w:rPr>
        <w:t>、主要经验及做法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一是开展了广泛的</w:t>
      </w:r>
      <w:r>
        <w:rPr>
          <w:rFonts w:hint="eastAsia" w:ascii="仿宋" w:hAnsi="仿宋" w:eastAsia="仿宋"/>
          <w:bCs/>
          <w:spacing w:val="-4"/>
          <w:sz w:val="32"/>
          <w:szCs w:val="32"/>
          <w:lang w:eastAsia="zh-CN"/>
        </w:rPr>
        <w:t>经济</w:t>
      </w:r>
      <w:r>
        <w:rPr>
          <w:rFonts w:hint="eastAsia" w:ascii="仿宋" w:hAnsi="仿宋" w:eastAsia="仿宋"/>
          <w:bCs/>
          <w:spacing w:val="-4"/>
          <w:sz w:val="32"/>
          <w:szCs w:val="32"/>
        </w:rPr>
        <w:t>普查宣传发动。塔什库尔干县经普办与县宣传部门利用横幅、标语，发放宣传传单、张贴宣传画、发放普查对象告知书，微信零距离、微信、</w:t>
      </w:r>
      <w:r>
        <w:rPr>
          <w:rFonts w:ascii="仿宋" w:hAnsi="仿宋" w:eastAsia="仿宋"/>
          <w:bCs/>
          <w:spacing w:val="-4"/>
          <w:sz w:val="32"/>
          <w:szCs w:val="32"/>
        </w:rPr>
        <w:t>QQ</w:t>
      </w:r>
      <w:r>
        <w:rPr>
          <w:rFonts w:hint="eastAsia" w:ascii="仿宋" w:hAnsi="仿宋" w:eastAsia="仿宋"/>
          <w:bCs/>
          <w:spacing w:val="-4"/>
          <w:sz w:val="32"/>
          <w:szCs w:val="32"/>
        </w:rPr>
        <w:t>群等多种群众喜闻乐见的宣传方式，广泛深入宣传经济普查的意义、经济普查的对象、经济普查的内容、经济普查的时间。为规范经济普查的宣传，县第四次全国经济普查领导小组办公室与县委宣传部联合印发了《关于做好塔什库尔干县第四次全国经济普查宣传工作的通知》文件。</w:t>
      </w:r>
    </w:p>
    <w:p>
      <w:pPr>
        <w:pStyle w:val="16"/>
        <w:widowControl/>
        <w:shd w:val="clear" w:color="auto" w:fill="FFFFFF"/>
        <w:spacing w:beforeAutospacing="0" w:afterAutospacing="0" w:line="450" w:lineRule="atLeast"/>
        <w:ind w:left="180" w:firstLine="540"/>
        <w:rPr>
          <w:rFonts w:ascii="仿宋" w:hAnsi="仿宋" w:eastAsia="仿宋"/>
          <w:bCs/>
          <w:spacing w:val="-4"/>
          <w:kern w:val="2"/>
          <w:sz w:val="32"/>
          <w:szCs w:val="32"/>
        </w:rPr>
      </w:pPr>
      <w:r>
        <w:rPr>
          <w:rFonts w:hint="eastAsia" w:ascii="仿宋" w:hAnsi="仿宋" w:eastAsia="仿宋"/>
          <w:bCs/>
          <w:spacing w:val="-4"/>
          <w:kern w:val="2"/>
          <w:sz w:val="32"/>
          <w:szCs w:val="32"/>
        </w:rPr>
        <w:t>二是完成了经济普查的普查指导员和普查员的选聘和培训。按照由县统一督促指导、乡镇负责组织选聘的要求，选聘了覆盖全县</w:t>
      </w:r>
      <w:r>
        <w:rPr>
          <w:rFonts w:ascii="仿宋" w:hAnsi="仿宋" w:eastAsia="仿宋"/>
          <w:bCs/>
          <w:spacing w:val="-4"/>
          <w:kern w:val="2"/>
          <w:sz w:val="32"/>
          <w:szCs w:val="32"/>
        </w:rPr>
        <w:t>12</w:t>
      </w:r>
      <w:r>
        <w:rPr>
          <w:rFonts w:hint="eastAsia" w:ascii="仿宋" w:hAnsi="仿宋" w:eastAsia="仿宋"/>
          <w:bCs/>
          <w:spacing w:val="-4"/>
          <w:kern w:val="2"/>
          <w:sz w:val="32"/>
          <w:szCs w:val="32"/>
        </w:rPr>
        <w:t>个乡镇</w:t>
      </w:r>
      <w:r>
        <w:rPr>
          <w:rFonts w:ascii="仿宋" w:hAnsi="仿宋" w:eastAsia="仿宋"/>
          <w:bCs/>
          <w:spacing w:val="-4"/>
          <w:kern w:val="2"/>
          <w:sz w:val="32"/>
          <w:szCs w:val="32"/>
        </w:rPr>
        <w:t>51</w:t>
      </w:r>
      <w:r>
        <w:rPr>
          <w:rFonts w:hint="eastAsia" w:ascii="仿宋" w:hAnsi="仿宋" w:eastAsia="仿宋"/>
          <w:bCs/>
          <w:spacing w:val="-4"/>
          <w:kern w:val="2"/>
          <w:sz w:val="32"/>
          <w:szCs w:val="32"/>
        </w:rPr>
        <w:t>个普查小区的</w:t>
      </w:r>
      <w:r>
        <w:rPr>
          <w:rFonts w:ascii="仿宋" w:hAnsi="仿宋" w:eastAsia="仿宋"/>
          <w:bCs/>
          <w:spacing w:val="-4"/>
          <w:kern w:val="2"/>
          <w:sz w:val="32"/>
          <w:szCs w:val="32"/>
        </w:rPr>
        <w:t>59</w:t>
      </w:r>
      <w:r>
        <w:rPr>
          <w:rFonts w:hint="eastAsia" w:ascii="仿宋" w:hAnsi="仿宋" w:eastAsia="仿宋"/>
          <w:bCs/>
          <w:spacing w:val="-4"/>
          <w:kern w:val="2"/>
          <w:sz w:val="32"/>
          <w:szCs w:val="32"/>
        </w:rPr>
        <w:t>名普查指导员和普查员，主办了全县经济普查清查摸底、经济普查方案专题培训，各乡镇也相继开展了</w:t>
      </w:r>
      <w:r>
        <w:rPr>
          <w:rFonts w:hint="eastAsia" w:ascii="仿宋" w:hAnsi="仿宋" w:eastAsia="仿宋"/>
          <w:bCs/>
          <w:spacing w:val="-4"/>
          <w:kern w:val="2"/>
          <w:sz w:val="32"/>
          <w:szCs w:val="32"/>
          <w:lang w:eastAsia="zh-CN"/>
        </w:rPr>
        <w:t>经济</w:t>
      </w:r>
      <w:r>
        <w:rPr>
          <w:rFonts w:hint="eastAsia" w:ascii="仿宋" w:hAnsi="仿宋" w:eastAsia="仿宋"/>
          <w:bCs/>
          <w:spacing w:val="-4"/>
          <w:kern w:val="2"/>
          <w:sz w:val="32"/>
          <w:szCs w:val="32"/>
        </w:rPr>
        <w:t>普查多种形式的培训。</w:t>
      </w:r>
    </w:p>
    <w:p>
      <w:pPr>
        <w:pStyle w:val="16"/>
        <w:widowControl/>
        <w:shd w:val="clear" w:color="auto" w:fill="FFFFFF"/>
        <w:spacing w:beforeAutospacing="0" w:afterAutospacing="0" w:line="450" w:lineRule="atLeast"/>
        <w:ind w:left="180" w:firstLine="540"/>
        <w:rPr>
          <w:rFonts w:ascii="仿宋" w:hAnsi="仿宋" w:eastAsia="仿宋"/>
          <w:bCs/>
          <w:spacing w:val="-4"/>
          <w:kern w:val="2"/>
          <w:sz w:val="32"/>
          <w:szCs w:val="32"/>
        </w:rPr>
      </w:pPr>
      <w:r>
        <w:rPr>
          <w:rFonts w:hint="eastAsia" w:ascii="仿宋" w:hAnsi="仿宋" w:eastAsia="仿宋"/>
          <w:bCs/>
          <w:spacing w:val="-4"/>
          <w:kern w:val="2"/>
          <w:sz w:val="32"/>
          <w:szCs w:val="32"/>
        </w:rPr>
        <w:t>三是完成了经济普查所需物质的采购和发放。发放</w:t>
      </w:r>
      <w:r>
        <w:rPr>
          <w:rFonts w:ascii="仿宋" w:hAnsi="仿宋" w:eastAsia="仿宋"/>
          <w:bCs/>
          <w:spacing w:val="-4"/>
          <w:kern w:val="2"/>
          <w:sz w:val="32"/>
          <w:szCs w:val="32"/>
        </w:rPr>
        <w:t>PDA</w:t>
      </w:r>
      <w:r>
        <w:rPr>
          <w:rFonts w:hint="eastAsia" w:ascii="仿宋" w:hAnsi="仿宋" w:eastAsia="仿宋"/>
          <w:bCs/>
          <w:spacing w:val="-4"/>
          <w:kern w:val="2"/>
          <w:sz w:val="32"/>
          <w:szCs w:val="32"/>
        </w:rPr>
        <w:t>设备</w:t>
      </w:r>
      <w:r>
        <w:rPr>
          <w:rFonts w:ascii="仿宋" w:hAnsi="仿宋" w:eastAsia="仿宋"/>
          <w:bCs/>
          <w:spacing w:val="-4"/>
          <w:kern w:val="2"/>
          <w:sz w:val="32"/>
          <w:szCs w:val="32"/>
        </w:rPr>
        <w:t>18</w:t>
      </w:r>
      <w:r>
        <w:rPr>
          <w:rFonts w:hint="eastAsia" w:ascii="仿宋" w:hAnsi="仿宋" w:eastAsia="仿宋"/>
          <w:bCs/>
          <w:spacing w:val="-4"/>
          <w:kern w:val="2"/>
          <w:sz w:val="32"/>
          <w:szCs w:val="32"/>
        </w:rPr>
        <w:t>台，印刷了经济普查摸底表、普查工作手册、普查员和普查指导员证等资料。按照各乡镇普查的任务情况分配给各乡镇，乡镇农普办到县</w:t>
      </w:r>
      <w:r>
        <w:rPr>
          <w:rFonts w:hint="eastAsia" w:ascii="仿宋" w:hAnsi="仿宋" w:eastAsia="仿宋"/>
          <w:bCs/>
          <w:spacing w:val="-4"/>
          <w:kern w:val="2"/>
          <w:sz w:val="32"/>
          <w:szCs w:val="32"/>
          <w:lang w:eastAsia="zh-CN"/>
        </w:rPr>
        <w:t>经济</w:t>
      </w:r>
      <w:r>
        <w:rPr>
          <w:rFonts w:hint="eastAsia" w:ascii="仿宋" w:hAnsi="仿宋" w:eastAsia="仿宋"/>
          <w:bCs/>
          <w:spacing w:val="-4"/>
          <w:kern w:val="2"/>
          <w:sz w:val="32"/>
          <w:szCs w:val="32"/>
        </w:rPr>
        <w:t>普查办签名领取，并对</w:t>
      </w:r>
      <w:r>
        <w:rPr>
          <w:rFonts w:ascii="仿宋" w:hAnsi="仿宋" w:eastAsia="仿宋"/>
          <w:bCs/>
          <w:spacing w:val="-4"/>
          <w:kern w:val="2"/>
          <w:sz w:val="32"/>
          <w:szCs w:val="32"/>
        </w:rPr>
        <w:t>PDA</w:t>
      </w:r>
      <w:r>
        <w:rPr>
          <w:rFonts w:hint="eastAsia" w:ascii="仿宋" w:hAnsi="仿宋" w:eastAsia="仿宋"/>
          <w:bCs/>
          <w:spacing w:val="-4"/>
          <w:kern w:val="2"/>
          <w:sz w:val="32"/>
          <w:szCs w:val="32"/>
        </w:rPr>
        <w:t>设备负责回收。</w:t>
      </w:r>
    </w:p>
    <w:p>
      <w:pPr>
        <w:pStyle w:val="16"/>
        <w:widowControl/>
        <w:shd w:val="clear" w:color="auto" w:fill="FFFFFF"/>
        <w:spacing w:beforeAutospacing="0" w:afterAutospacing="0" w:line="450" w:lineRule="atLeast"/>
        <w:ind w:left="180" w:firstLine="540"/>
        <w:rPr>
          <w:rFonts w:ascii="仿宋" w:hAnsi="仿宋" w:eastAsia="仿宋"/>
          <w:bCs/>
          <w:spacing w:val="-4"/>
          <w:kern w:val="2"/>
          <w:sz w:val="32"/>
          <w:szCs w:val="32"/>
        </w:rPr>
      </w:pPr>
      <w:r>
        <w:rPr>
          <w:rFonts w:hint="eastAsia" w:ascii="仿宋" w:hAnsi="仿宋" w:eastAsia="仿宋"/>
          <w:bCs/>
          <w:spacing w:val="-4"/>
          <w:kern w:val="2"/>
          <w:sz w:val="32"/>
          <w:szCs w:val="32"/>
        </w:rPr>
        <w:t>四是完成了全县经济普查的清查摸底。从</w:t>
      </w:r>
      <w:r>
        <w:rPr>
          <w:rFonts w:ascii="仿宋" w:hAnsi="仿宋" w:eastAsia="仿宋"/>
          <w:bCs/>
          <w:spacing w:val="-4"/>
          <w:kern w:val="2"/>
          <w:sz w:val="32"/>
          <w:szCs w:val="32"/>
        </w:rPr>
        <w:t>2018</w:t>
      </w:r>
      <w:r>
        <w:rPr>
          <w:rFonts w:hint="eastAsia" w:ascii="仿宋" w:hAnsi="仿宋" w:eastAsia="仿宋"/>
          <w:bCs/>
          <w:spacing w:val="-4"/>
          <w:kern w:val="2"/>
          <w:sz w:val="32"/>
          <w:szCs w:val="32"/>
        </w:rPr>
        <w:t>年</w:t>
      </w:r>
      <w:r>
        <w:rPr>
          <w:rFonts w:ascii="仿宋" w:hAnsi="仿宋" w:eastAsia="仿宋"/>
          <w:bCs/>
          <w:spacing w:val="-4"/>
          <w:kern w:val="2"/>
          <w:sz w:val="32"/>
          <w:szCs w:val="32"/>
        </w:rPr>
        <w:t>10</w:t>
      </w:r>
      <w:r>
        <w:rPr>
          <w:rFonts w:hint="eastAsia" w:ascii="仿宋" w:hAnsi="仿宋" w:eastAsia="仿宋"/>
          <w:bCs/>
          <w:spacing w:val="-4"/>
          <w:kern w:val="2"/>
          <w:sz w:val="32"/>
          <w:szCs w:val="32"/>
        </w:rPr>
        <w:t>月</w:t>
      </w:r>
      <w:r>
        <w:rPr>
          <w:rFonts w:ascii="仿宋" w:hAnsi="仿宋" w:eastAsia="仿宋"/>
          <w:bCs/>
          <w:spacing w:val="-4"/>
          <w:kern w:val="2"/>
          <w:sz w:val="32"/>
          <w:szCs w:val="32"/>
        </w:rPr>
        <w:t>1</w:t>
      </w:r>
      <w:r>
        <w:rPr>
          <w:rFonts w:hint="eastAsia" w:ascii="仿宋" w:hAnsi="仿宋" w:eastAsia="仿宋"/>
          <w:bCs/>
          <w:spacing w:val="-4"/>
          <w:kern w:val="2"/>
          <w:sz w:val="32"/>
          <w:szCs w:val="32"/>
        </w:rPr>
        <w:t>日起开展经济普查的单位清查摸底工作，全县</w:t>
      </w:r>
      <w:r>
        <w:rPr>
          <w:rFonts w:ascii="仿宋" w:hAnsi="仿宋" w:eastAsia="仿宋"/>
          <w:bCs/>
          <w:spacing w:val="-4"/>
          <w:kern w:val="2"/>
          <w:sz w:val="32"/>
          <w:szCs w:val="32"/>
        </w:rPr>
        <w:t>12</w:t>
      </w:r>
      <w:r>
        <w:rPr>
          <w:rFonts w:hint="eastAsia" w:ascii="仿宋" w:hAnsi="仿宋" w:eastAsia="仿宋"/>
          <w:bCs/>
          <w:spacing w:val="-4"/>
          <w:kern w:val="2"/>
          <w:sz w:val="32"/>
          <w:szCs w:val="32"/>
        </w:rPr>
        <w:t>个乡镇划分成</w:t>
      </w:r>
      <w:r>
        <w:rPr>
          <w:rFonts w:ascii="仿宋" w:hAnsi="仿宋" w:eastAsia="仿宋"/>
          <w:bCs/>
          <w:spacing w:val="-4"/>
          <w:kern w:val="2"/>
          <w:sz w:val="32"/>
          <w:szCs w:val="32"/>
        </w:rPr>
        <w:t>51</w:t>
      </w:r>
      <w:r>
        <w:rPr>
          <w:rFonts w:hint="eastAsia" w:ascii="仿宋" w:hAnsi="仿宋" w:eastAsia="仿宋"/>
          <w:bCs/>
          <w:spacing w:val="-4"/>
          <w:kern w:val="2"/>
          <w:sz w:val="32"/>
          <w:szCs w:val="32"/>
        </w:rPr>
        <w:t>个普查小区，对</w:t>
      </w:r>
      <w:r>
        <w:rPr>
          <w:rFonts w:ascii="仿宋" w:hAnsi="仿宋" w:eastAsia="仿宋"/>
          <w:bCs/>
          <w:spacing w:val="-4"/>
          <w:kern w:val="2"/>
          <w:sz w:val="32"/>
          <w:szCs w:val="32"/>
        </w:rPr>
        <w:t>1083</w:t>
      </w:r>
      <w:r>
        <w:rPr>
          <w:rFonts w:hint="eastAsia" w:ascii="仿宋" w:hAnsi="仿宋" w:eastAsia="仿宋"/>
          <w:bCs/>
          <w:spacing w:val="-4"/>
          <w:kern w:val="2"/>
          <w:sz w:val="32"/>
          <w:szCs w:val="32"/>
        </w:rPr>
        <w:t>个单位、</w:t>
      </w:r>
      <w:r>
        <w:rPr>
          <w:rFonts w:ascii="仿宋" w:hAnsi="仿宋" w:eastAsia="仿宋"/>
          <w:bCs/>
          <w:spacing w:val="-4"/>
          <w:kern w:val="2"/>
          <w:sz w:val="32"/>
          <w:szCs w:val="32"/>
        </w:rPr>
        <w:t>1178</w:t>
      </w:r>
      <w:r>
        <w:rPr>
          <w:rFonts w:hint="eastAsia" w:ascii="仿宋" w:hAnsi="仿宋" w:eastAsia="仿宋"/>
          <w:bCs/>
          <w:spacing w:val="-4"/>
          <w:kern w:val="2"/>
          <w:sz w:val="32"/>
          <w:szCs w:val="32"/>
        </w:rPr>
        <w:t>户个体工商户进行摸底统计。为保障清查摸底的顺利进行和摸底数据的质量，一方面县经济办对现有资料反馈给乡镇，为清查摸底提供参考；另一方面实行三项数据的对照，保障清查结果与原有数据的衔接，即乡镇清查摸底数据分别与县反馈的数据对比、与县直有关部门的数据对照、县反馈数与乡镇数及清查数三数比较；数据比对时如有疑问或重大变化的须向县经普办及地区经普办作出文字说明。</w:t>
      </w:r>
    </w:p>
    <w:p>
      <w:pPr>
        <w:numPr>
          <w:ilvl w:val="0"/>
          <w:numId w:val="2"/>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numPr>
          <w:numId w:val="0"/>
        </w:num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lang w:eastAsia="zh-CN"/>
        </w:rPr>
        <w:t>无。</w:t>
      </w:r>
    </w:p>
    <w:p>
      <w:pPr>
        <w:numPr>
          <w:ilvl w:val="0"/>
          <w:numId w:val="2"/>
        </w:numPr>
        <w:adjustRightInd w:val="0"/>
        <w:snapToGrid w:val="0"/>
        <w:spacing w:line="560" w:lineRule="exact"/>
        <w:ind w:left="0" w:leftChars="0"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建议</w:t>
      </w:r>
    </w:p>
    <w:p>
      <w:pPr>
        <w:numPr>
          <w:numId w:val="0"/>
        </w:numPr>
        <w:adjustRightInd w:val="0"/>
        <w:snapToGrid w:val="0"/>
        <w:spacing w:line="560" w:lineRule="exact"/>
        <w:ind w:firstLine="624" w:firstLineChars="200"/>
        <w:rPr>
          <w:rFonts w:ascii="仿宋" w:hAnsi="仿宋" w:eastAsia="仿宋"/>
          <w:bCs/>
          <w:spacing w:val="-4"/>
          <w:kern w:val="2"/>
          <w:sz w:val="32"/>
          <w:szCs w:val="32"/>
        </w:rPr>
      </w:pPr>
      <w:r>
        <w:rPr>
          <w:rFonts w:hint="eastAsia" w:ascii="仿宋" w:hAnsi="仿宋" w:eastAsia="仿宋"/>
          <w:bCs/>
          <w:spacing w:val="-4"/>
          <w:kern w:val="2"/>
          <w:sz w:val="32"/>
          <w:szCs w:val="32"/>
        </w:rPr>
        <w:t>一是进一步加大宣传培训力度，提升经济普查的认知程度。</w:t>
      </w:r>
      <w:r>
        <w:rPr>
          <w:rFonts w:ascii="仿宋" w:hAnsi="仿宋" w:eastAsia="仿宋"/>
          <w:bCs/>
          <w:spacing w:val="-4"/>
          <w:kern w:val="2"/>
          <w:sz w:val="32"/>
          <w:szCs w:val="32"/>
        </w:rPr>
        <w:t>2018</w:t>
      </w:r>
      <w:r>
        <w:rPr>
          <w:rFonts w:hint="eastAsia" w:ascii="仿宋" w:hAnsi="仿宋" w:eastAsia="仿宋"/>
          <w:bCs/>
          <w:spacing w:val="-4"/>
          <w:kern w:val="2"/>
          <w:sz w:val="32"/>
          <w:szCs w:val="32"/>
        </w:rPr>
        <w:t>年我县围绕经济普查开展了大量宣传培训工作，但经济普查涉及的内容多、指标专业性强，建议各地进一步加大经济普查知识宣传培训力度，让广大普查对象不仅要了解经济普查，而且要理解经济普查各指标的含义，积极配合填报指标，以减少数据的偏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二是坚持依法普查，确保普查数据的质量。普查员在入户调查时，要按照《中华人民共和国统计法》《全国经济普查条例》的有关规定开展入户普查，同时也要对一些经反复做宣传解释后仍不配合的普查对象，或虚报、瞒报、拒报的单位和个人，要及时查处、依法曝光，发挥反面典型警示作用，以期取得入户调查的顺利进行和调查数据的真实准确。</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无其他说明内容</w:t>
      </w:r>
      <w:r>
        <w:rPr>
          <w:rFonts w:hint="eastAsia" w:ascii="仿宋" w:hAnsi="仿宋" w:eastAsia="仿宋"/>
          <w:bCs/>
          <w:spacing w:val="-4"/>
          <w:sz w:val="32"/>
          <w:szCs w:val="32"/>
          <w:lang w:eastAsia="zh-CN"/>
        </w:rPr>
        <w:t>。</w:t>
      </w:r>
    </w:p>
    <w:p>
      <w:pPr>
        <w:adjustRightInd w:val="0"/>
        <w:snapToGrid w:val="0"/>
        <w:spacing w:line="560" w:lineRule="exact"/>
        <w:ind w:firstLine="624" w:firstLineChars="200"/>
        <w:outlineLvl w:val="0"/>
        <w:rPr>
          <w:rFonts w:ascii="黑体" w:hAnsi="黑体" w:eastAsia="黑体"/>
          <w:bCs/>
          <w:spacing w:val="-4"/>
          <w:sz w:val="32"/>
          <w:szCs w:val="32"/>
        </w:rPr>
      </w:pPr>
      <w:r>
        <w:rPr>
          <w:rStyle w:val="20"/>
          <w:rFonts w:hint="eastAsia" w:ascii="黑体" w:hAnsi="黑体" w:eastAsia="黑体"/>
          <w:b w:val="0"/>
          <w:spacing w:val="-4"/>
          <w:sz w:val="32"/>
          <w:szCs w:val="32"/>
        </w:rPr>
        <w:t>六、项目评价工作情况</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从</w:t>
      </w:r>
      <w:r>
        <w:rPr>
          <w:rFonts w:ascii="仿宋" w:hAnsi="仿宋" w:eastAsia="仿宋"/>
          <w:bCs/>
          <w:spacing w:val="-4"/>
          <w:sz w:val="32"/>
          <w:szCs w:val="32"/>
        </w:rPr>
        <w:t>2018</w:t>
      </w:r>
      <w:r>
        <w:rPr>
          <w:rFonts w:hint="eastAsia" w:ascii="仿宋" w:hAnsi="仿宋" w:eastAsia="仿宋"/>
          <w:bCs/>
          <w:spacing w:val="-4"/>
          <w:sz w:val="32"/>
          <w:szCs w:val="32"/>
        </w:rPr>
        <w:t>年</w:t>
      </w:r>
      <w:r>
        <w:rPr>
          <w:rFonts w:ascii="仿宋" w:hAnsi="仿宋" w:eastAsia="仿宋"/>
          <w:bCs/>
          <w:spacing w:val="-4"/>
          <w:sz w:val="32"/>
          <w:szCs w:val="32"/>
        </w:rPr>
        <w:t>10</w:t>
      </w:r>
      <w:r>
        <w:rPr>
          <w:rFonts w:hint="eastAsia" w:ascii="仿宋" w:hAnsi="仿宋" w:eastAsia="仿宋"/>
          <w:bCs/>
          <w:spacing w:val="-4"/>
          <w:sz w:val="32"/>
          <w:szCs w:val="32"/>
        </w:rPr>
        <w:t>月</w:t>
      </w:r>
      <w:r>
        <w:rPr>
          <w:rFonts w:ascii="仿宋" w:hAnsi="仿宋" w:eastAsia="仿宋"/>
          <w:bCs/>
          <w:spacing w:val="-4"/>
          <w:sz w:val="32"/>
          <w:szCs w:val="32"/>
        </w:rPr>
        <w:t>1</w:t>
      </w:r>
      <w:r>
        <w:rPr>
          <w:rFonts w:hint="eastAsia" w:ascii="仿宋" w:hAnsi="仿宋" w:eastAsia="仿宋"/>
          <w:bCs/>
          <w:spacing w:val="-4"/>
          <w:sz w:val="32"/>
          <w:szCs w:val="32"/>
        </w:rPr>
        <w:t>日塔什库尔干县开展了经济普查的清查摸底。通过清查摸底，收集了相关信息，进行了实地访问，判定、筛选出了普查登记对象，为落实普查登记责任，确保普查表按类登记，并统计汇总有关情况，普查对象不重不漏提供了可靠保证。</w:t>
      </w:r>
    </w:p>
    <w:p>
      <w:pPr>
        <w:adjustRightInd w:val="0"/>
        <w:snapToGrid w:val="0"/>
        <w:spacing w:line="560" w:lineRule="exact"/>
        <w:ind w:firstLine="624" w:firstLineChars="200"/>
        <w:outlineLvl w:val="0"/>
        <w:rPr>
          <w:rFonts w:hint="eastAsia" w:ascii="仿宋" w:hAnsi="仿宋" w:eastAsia="仿宋"/>
          <w:bCs/>
          <w:spacing w:val="-4"/>
          <w:sz w:val="32"/>
          <w:szCs w:val="32"/>
          <w:lang w:eastAsia="zh-CN"/>
        </w:rPr>
      </w:pPr>
      <w:r>
        <w:rPr>
          <w:rFonts w:ascii="仿宋" w:hAnsi="仿宋" w:eastAsia="仿宋"/>
          <w:bCs/>
          <w:spacing w:val="-4"/>
          <w:sz w:val="32"/>
          <w:szCs w:val="32"/>
        </w:rPr>
        <w:t>2018</w:t>
      </w:r>
      <w:r>
        <w:rPr>
          <w:rFonts w:hint="eastAsia" w:ascii="仿宋" w:hAnsi="仿宋" w:eastAsia="仿宋"/>
          <w:bCs/>
          <w:spacing w:val="-4"/>
          <w:sz w:val="32"/>
          <w:szCs w:val="32"/>
        </w:rPr>
        <w:t>年度第四次全国经济普查经费项目，完成了县乡经济普查工作机构的组建、普查动员、宣传发动工作、两员选聘和培训、物质准备、清查摸底等工作。通过</w:t>
      </w:r>
      <w:r>
        <w:rPr>
          <w:rFonts w:ascii="仿宋" w:hAnsi="仿宋" w:eastAsia="仿宋"/>
          <w:bCs/>
          <w:spacing w:val="-4"/>
          <w:sz w:val="32"/>
          <w:szCs w:val="32"/>
        </w:rPr>
        <w:t>2018</w:t>
      </w:r>
      <w:r>
        <w:rPr>
          <w:rFonts w:hint="eastAsia" w:ascii="仿宋" w:hAnsi="仿宋" w:eastAsia="仿宋"/>
          <w:bCs/>
          <w:spacing w:val="-4"/>
          <w:sz w:val="32"/>
          <w:szCs w:val="32"/>
        </w:rPr>
        <w:t>年的工作，在全县形成了开展第四次全国经济普查较为浓厚的氛围，为进一步开展经济普查建立了一支业务能力较强“经济普查指导员和普查员”队伍，清查摸底的顺利完成为下一步的经济普查正式登记提供了数据质量保证。但也存在个别地方宣传还没有完全到位，个别普查小区清查摸底的数据还需进一步核实，经济普查经费财务管理还需进一步规范等问题</w:t>
      </w:r>
      <w:r>
        <w:rPr>
          <w:rFonts w:hint="eastAsia" w:ascii="仿宋" w:hAnsi="仿宋" w:eastAsia="仿宋"/>
          <w:bCs/>
          <w:spacing w:val="-4"/>
          <w:sz w:val="32"/>
          <w:szCs w:val="32"/>
          <w:lang w:eastAsia="zh-CN"/>
        </w:rPr>
        <w:t>。</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七、附表</w:t>
      </w:r>
    </w:p>
    <w:p>
      <w:pPr>
        <w:adjustRightInd w:val="0"/>
        <w:snapToGrid w:val="0"/>
        <w:spacing w:line="56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20"/>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4AB611"/>
    <w:multiLevelType w:val="singleLevel"/>
    <w:tmpl w:val="E84AB611"/>
    <w:lvl w:ilvl="0" w:tentative="0">
      <w:start w:val="2"/>
      <w:numFmt w:val="chineseCounting"/>
      <w:suff w:val="nothing"/>
      <w:lvlText w:val="（%1）"/>
      <w:lvlJc w:val="left"/>
      <w:rPr>
        <w:rFonts w:hint="eastAsia"/>
      </w:rPr>
    </w:lvl>
  </w:abstractNum>
  <w:abstractNum w:abstractNumId="1">
    <w:nsid w:val="5A90986F"/>
    <w:multiLevelType w:val="singleLevel"/>
    <w:tmpl w:val="5A90986F"/>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24B0D"/>
    <w:rsid w:val="00117321"/>
    <w:rsid w:val="0012208E"/>
    <w:rsid w:val="00135256"/>
    <w:rsid w:val="001A4E1F"/>
    <w:rsid w:val="001A57B9"/>
    <w:rsid w:val="001C3847"/>
    <w:rsid w:val="001F3031"/>
    <w:rsid w:val="00210A26"/>
    <w:rsid w:val="002607C5"/>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2333B"/>
    <w:rsid w:val="00675D58"/>
    <w:rsid w:val="00694DA6"/>
    <w:rsid w:val="006F2E6D"/>
    <w:rsid w:val="007218B8"/>
    <w:rsid w:val="00755C6A"/>
    <w:rsid w:val="00785FDE"/>
    <w:rsid w:val="007A0351"/>
    <w:rsid w:val="007A14BC"/>
    <w:rsid w:val="007C1025"/>
    <w:rsid w:val="007E6845"/>
    <w:rsid w:val="007E6D86"/>
    <w:rsid w:val="007F5F8A"/>
    <w:rsid w:val="00826CA1"/>
    <w:rsid w:val="00835B7F"/>
    <w:rsid w:val="00855E3A"/>
    <w:rsid w:val="00870C8F"/>
    <w:rsid w:val="00882985"/>
    <w:rsid w:val="00922CB9"/>
    <w:rsid w:val="009350F7"/>
    <w:rsid w:val="009B526F"/>
    <w:rsid w:val="009C1AFD"/>
    <w:rsid w:val="009D4BFB"/>
    <w:rsid w:val="00A26421"/>
    <w:rsid w:val="00A4293B"/>
    <w:rsid w:val="00A83BD5"/>
    <w:rsid w:val="00A977DF"/>
    <w:rsid w:val="00AB48E0"/>
    <w:rsid w:val="00AE6A23"/>
    <w:rsid w:val="00B06CA5"/>
    <w:rsid w:val="00B13FCF"/>
    <w:rsid w:val="00B1458D"/>
    <w:rsid w:val="00B26EE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0F81BA1"/>
    <w:rsid w:val="07184B49"/>
    <w:rsid w:val="0740323C"/>
    <w:rsid w:val="0AE84D10"/>
    <w:rsid w:val="0BD45564"/>
    <w:rsid w:val="0FD9326F"/>
    <w:rsid w:val="12187419"/>
    <w:rsid w:val="12F7027A"/>
    <w:rsid w:val="140550DC"/>
    <w:rsid w:val="1BDD6825"/>
    <w:rsid w:val="1D3B4EEE"/>
    <w:rsid w:val="1DC52693"/>
    <w:rsid w:val="22EC5CE1"/>
    <w:rsid w:val="252E7795"/>
    <w:rsid w:val="254C139F"/>
    <w:rsid w:val="255264A6"/>
    <w:rsid w:val="27057E20"/>
    <w:rsid w:val="27117452"/>
    <w:rsid w:val="28356136"/>
    <w:rsid w:val="3235425E"/>
    <w:rsid w:val="35D37DCA"/>
    <w:rsid w:val="37FB0065"/>
    <w:rsid w:val="38333992"/>
    <w:rsid w:val="391C0139"/>
    <w:rsid w:val="397F4FE8"/>
    <w:rsid w:val="39EF0CAF"/>
    <w:rsid w:val="3C556E81"/>
    <w:rsid w:val="3CE30529"/>
    <w:rsid w:val="3D6443A4"/>
    <w:rsid w:val="3E753CA3"/>
    <w:rsid w:val="40BE213F"/>
    <w:rsid w:val="4DFF55A3"/>
    <w:rsid w:val="4EF12A89"/>
    <w:rsid w:val="514A5D00"/>
    <w:rsid w:val="519759EC"/>
    <w:rsid w:val="56067F28"/>
    <w:rsid w:val="57993D5B"/>
    <w:rsid w:val="5CBB6E68"/>
    <w:rsid w:val="5E7D7B98"/>
    <w:rsid w:val="609A2C07"/>
    <w:rsid w:val="61C46BCD"/>
    <w:rsid w:val="62577F12"/>
    <w:rsid w:val="62871FA3"/>
    <w:rsid w:val="63F044D9"/>
    <w:rsid w:val="657B2A0F"/>
    <w:rsid w:val="67EB1C99"/>
    <w:rsid w:val="6A5F5DBD"/>
    <w:rsid w:val="6C381338"/>
    <w:rsid w:val="6D7C467E"/>
    <w:rsid w:val="6FC41015"/>
    <w:rsid w:val="71582F14"/>
    <w:rsid w:val="74196B92"/>
    <w:rsid w:val="7782526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nhideWhenUsed="0" w:uiPriority="99" w:semiHidden="0"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3"/>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4"/>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5"/>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6"/>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7"/>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8"/>
    <w:qFormat/>
    <w:uiPriority w:val="99"/>
    <w:pPr>
      <w:widowControl/>
      <w:spacing w:before="240" w:after="60"/>
      <w:jc w:val="left"/>
      <w:outlineLvl w:val="6"/>
    </w:pPr>
    <w:rPr>
      <w:rFonts w:ascii="Calibri" w:hAnsi="Calibri"/>
      <w:kern w:val="0"/>
      <w:sz w:val="24"/>
    </w:rPr>
  </w:style>
  <w:style w:type="paragraph" w:styleId="9">
    <w:name w:val="heading 8"/>
    <w:basedOn w:val="1"/>
    <w:next w:val="1"/>
    <w:link w:val="29"/>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0"/>
    <w:qFormat/>
    <w:uiPriority w:val="99"/>
    <w:pPr>
      <w:widowControl/>
      <w:spacing w:before="240" w:after="60"/>
      <w:jc w:val="left"/>
      <w:outlineLvl w:val="8"/>
    </w:pPr>
    <w:rPr>
      <w:rFonts w:ascii="Cambria" w:hAnsi="Cambria"/>
      <w:kern w:val="0"/>
      <w:sz w:val="22"/>
      <w:szCs w:val="22"/>
    </w:rPr>
  </w:style>
  <w:style w:type="character" w:default="1" w:styleId="19">
    <w:name w:val="Default Paragraph Font"/>
    <w:semiHidden/>
    <w:qFormat/>
    <w:uiPriority w:val="99"/>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31"/>
    <w:uiPriority w:val="99"/>
    <w:rPr>
      <w:rFonts w:ascii="宋体"/>
      <w:sz w:val="18"/>
      <w:szCs w:val="18"/>
    </w:rPr>
  </w:style>
  <w:style w:type="paragraph" w:styleId="12">
    <w:name w:val="Balloon Text"/>
    <w:basedOn w:val="1"/>
    <w:link w:val="32"/>
    <w:uiPriority w:val="99"/>
    <w:rPr>
      <w:sz w:val="18"/>
      <w:szCs w:val="18"/>
    </w:rPr>
  </w:style>
  <w:style w:type="paragraph" w:styleId="13">
    <w:name w:val="footer"/>
    <w:basedOn w:val="1"/>
    <w:link w:val="33"/>
    <w:uiPriority w:val="99"/>
    <w:pPr>
      <w:tabs>
        <w:tab w:val="center" w:pos="4153"/>
        <w:tab w:val="right" w:pos="8306"/>
      </w:tabs>
      <w:snapToGrid w:val="0"/>
      <w:jc w:val="left"/>
    </w:pPr>
    <w:rPr>
      <w:rFonts w:ascii="Calibri" w:hAnsi="Calibri"/>
      <w:sz w:val="18"/>
      <w:szCs w:val="18"/>
    </w:rPr>
  </w:style>
  <w:style w:type="paragraph" w:styleId="14">
    <w:name w:val="header"/>
    <w:basedOn w:val="1"/>
    <w:link w:val="34"/>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5"/>
    <w:qFormat/>
    <w:uiPriority w:val="99"/>
    <w:pPr>
      <w:widowControl/>
      <w:spacing w:after="60"/>
      <w:jc w:val="center"/>
      <w:outlineLvl w:val="1"/>
    </w:pPr>
    <w:rPr>
      <w:rFonts w:ascii="Cambria" w:hAnsi="Cambria"/>
      <w:kern w:val="0"/>
      <w:sz w:val="24"/>
    </w:rPr>
  </w:style>
  <w:style w:type="paragraph" w:styleId="16">
    <w:name w:val="Normal (Web)"/>
    <w:basedOn w:val="1"/>
    <w:uiPriority w:val="99"/>
    <w:pPr>
      <w:spacing w:beforeAutospacing="1" w:afterAutospacing="1"/>
      <w:jc w:val="left"/>
    </w:pPr>
    <w:rPr>
      <w:rFonts w:ascii="Calibri" w:hAnsi="Calibri"/>
      <w:kern w:val="0"/>
      <w:sz w:val="24"/>
    </w:rPr>
  </w:style>
  <w:style w:type="paragraph" w:styleId="17">
    <w:name w:val="Title"/>
    <w:basedOn w:val="1"/>
    <w:next w:val="1"/>
    <w:link w:val="36"/>
    <w:qFormat/>
    <w:uiPriority w:val="99"/>
    <w:pPr>
      <w:widowControl/>
      <w:spacing w:before="240" w:after="60"/>
      <w:jc w:val="center"/>
      <w:outlineLvl w:val="0"/>
    </w:pPr>
    <w:rPr>
      <w:rFonts w:ascii="Cambria" w:hAnsi="Cambria"/>
      <w:b/>
      <w:bCs/>
      <w:kern w:val="28"/>
      <w:sz w:val="32"/>
      <w:szCs w:val="32"/>
    </w:rPr>
  </w:style>
  <w:style w:type="character" w:styleId="20">
    <w:name w:val="Strong"/>
    <w:basedOn w:val="19"/>
    <w:qFormat/>
    <w:uiPriority w:val="99"/>
    <w:rPr>
      <w:rFonts w:cs="Times New Roman"/>
      <w:b/>
      <w:bCs/>
    </w:rPr>
  </w:style>
  <w:style w:type="character" w:styleId="21">
    <w:name w:val="Emphasis"/>
    <w:basedOn w:val="19"/>
    <w:qFormat/>
    <w:uiPriority w:val="99"/>
    <w:rPr>
      <w:rFonts w:ascii="Calibri" w:hAnsi="Calibri" w:cs="Times New Roman"/>
      <w:b/>
      <w:i/>
      <w:iCs/>
    </w:rPr>
  </w:style>
  <w:style w:type="character" w:customStyle="1" w:styleId="22">
    <w:name w:val="Heading 1 Char"/>
    <w:basedOn w:val="19"/>
    <w:link w:val="2"/>
    <w:qFormat/>
    <w:locked/>
    <w:uiPriority w:val="99"/>
    <w:rPr>
      <w:rFonts w:ascii="Cambria" w:hAnsi="Cambria" w:eastAsia="宋体" w:cs="Times New Roman"/>
      <w:b/>
      <w:bCs/>
      <w:kern w:val="32"/>
      <w:sz w:val="32"/>
      <w:szCs w:val="32"/>
    </w:rPr>
  </w:style>
  <w:style w:type="character" w:customStyle="1" w:styleId="23">
    <w:name w:val="Heading 2 Char"/>
    <w:basedOn w:val="19"/>
    <w:link w:val="3"/>
    <w:semiHidden/>
    <w:qFormat/>
    <w:locked/>
    <w:uiPriority w:val="99"/>
    <w:rPr>
      <w:rFonts w:ascii="Cambria" w:hAnsi="Cambria" w:eastAsia="宋体" w:cs="Times New Roman"/>
      <w:b/>
      <w:bCs/>
      <w:i/>
      <w:iCs/>
      <w:sz w:val="28"/>
      <w:szCs w:val="28"/>
    </w:rPr>
  </w:style>
  <w:style w:type="character" w:customStyle="1" w:styleId="24">
    <w:name w:val="Heading 3 Char"/>
    <w:basedOn w:val="19"/>
    <w:link w:val="4"/>
    <w:semiHidden/>
    <w:qFormat/>
    <w:locked/>
    <w:uiPriority w:val="99"/>
    <w:rPr>
      <w:rFonts w:ascii="Cambria" w:hAnsi="Cambria" w:eastAsia="宋体" w:cs="Times New Roman"/>
      <w:b/>
      <w:bCs/>
      <w:sz w:val="26"/>
      <w:szCs w:val="26"/>
    </w:rPr>
  </w:style>
  <w:style w:type="character" w:customStyle="1" w:styleId="25">
    <w:name w:val="Heading 4 Char"/>
    <w:basedOn w:val="19"/>
    <w:link w:val="5"/>
    <w:semiHidden/>
    <w:qFormat/>
    <w:locked/>
    <w:uiPriority w:val="99"/>
    <w:rPr>
      <w:rFonts w:cs="Times New Roman"/>
      <w:b/>
      <w:bCs/>
      <w:sz w:val="28"/>
      <w:szCs w:val="28"/>
    </w:rPr>
  </w:style>
  <w:style w:type="character" w:customStyle="1" w:styleId="26">
    <w:name w:val="Heading 5 Char"/>
    <w:basedOn w:val="19"/>
    <w:link w:val="6"/>
    <w:semiHidden/>
    <w:qFormat/>
    <w:locked/>
    <w:uiPriority w:val="99"/>
    <w:rPr>
      <w:rFonts w:cs="Times New Roman"/>
      <w:b/>
      <w:bCs/>
      <w:i/>
      <w:iCs/>
      <w:sz w:val="26"/>
      <w:szCs w:val="26"/>
    </w:rPr>
  </w:style>
  <w:style w:type="character" w:customStyle="1" w:styleId="27">
    <w:name w:val="Heading 6 Char"/>
    <w:basedOn w:val="19"/>
    <w:link w:val="7"/>
    <w:semiHidden/>
    <w:qFormat/>
    <w:locked/>
    <w:uiPriority w:val="99"/>
    <w:rPr>
      <w:rFonts w:cs="Times New Roman"/>
      <w:b/>
      <w:bCs/>
    </w:rPr>
  </w:style>
  <w:style w:type="character" w:customStyle="1" w:styleId="28">
    <w:name w:val="Heading 7 Char"/>
    <w:basedOn w:val="19"/>
    <w:link w:val="8"/>
    <w:semiHidden/>
    <w:qFormat/>
    <w:locked/>
    <w:uiPriority w:val="99"/>
    <w:rPr>
      <w:rFonts w:cs="Times New Roman"/>
      <w:sz w:val="24"/>
      <w:szCs w:val="24"/>
    </w:rPr>
  </w:style>
  <w:style w:type="character" w:customStyle="1" w:styleId="29">
    <w:name w:val="Heading 8 Char"/>
    <w:basedOn w:val="19"/>
    <w:link w:val="9"/>
    <w:semiHidden/>
    <w:qFormat/>
    <w:locked/>
    <w:uiPriority w:val="99"/>
    <w:rPr>
      <w:rFonts w:cs="Times New Roman"/>
      <w:i/>
      <w:iCs/>
      <w:sz w:val="24"/>
      <w:szCs w:val="24"/>
    </w:rPr>
  </w:style>
  <w:style w:type="character" w:customStyle="1" w:styleId="30">
    <w:name w:val="Heading 9 Char"/>
    <w:basedOn w:val="19"/>
    <w:link w:val="10"/>
    <w:semiHidden/>
    <w:qFormat/>
    <w:locked/>
    <w:uiPriority w:val="99"/>
    <w:rPr>
      <w:rFonts w:ascii="Cambria" w:hAnsi="Cambria" w:eastAsia="宋体" w:cs="Times New Roman"/>
    </w:rPr>
  </w:style>
  <w:style w:type="character" w:customStyle="1" w:styleId="31">
    <w:name w:val="Document Map Char"/>
    <w:basedOn w:val="19"/>
    <w:link w:val="11"/>
    <w:semiHidden/>
    <w:qFormat/>
    <w:locked/>
    <w:uiPriority w:val="99"/>
    <w:rPr>
      <w:rFonts w:ascii="宋体" w:hAnsi="Times New Roman" w:eastAsia="宋体" w:cs="Times New Roman"/>
      <w:kern w:val="2"/>
      <w:sz w:val="18"/>
      <w:szCs w:val="18"/>
    </w:rPr>
  </w:style>
  <w:style w:type="character" w:customStyle="1" w:styleId="32">
    <w:name w:val="Balloon Text Char"/>
    <w:basedOn w:val="19"/>
    <w:link w:val="12"/>
    <w:semiHidden/>
    <w:qFormat/>
    <w:locked/>
    <w:uiPriority w:val="99"/>
    <w:rPr>
      <w:rFonts w:ascii="Times New Roman" w:hAnsi="Times New Roman" w:eastAsia="宋体" w:cs="Times New Roman"/>
      <w:kern w:val="2"/>
      <w:sz w:val="18"/>
      <w:szCs w:val="18"/>
    </w:rPr>
  </w:style>
  <w:style w:type="character" w:customStyle="1" w:styleId="33">
    <w:name w:val="Footer Char"/>
    <w:basedOn w:val="19"/>
    <w:link w:val="13"/>
    <w:qFormat/>
    <w:locked/>
    <w:uiPriority w:val="99"/>
    <w:rPr>
      <w:rFonts w:ascii="Calibri" w:hAnsi="Calibri" w:eastAsia="宋体" w:cs="Times New Roman"/>
      <w:kern w:val="2"/>
      <w:sz w:val="18"/>
      <w:szCs w:val="18"/>
    </w:rPr>
  </w:style>
  <w:style w:type="character" w:customStyle="1" w:styleId="34">
    <w:name w:val="Header Char"/>
    <w:basedOn w:val="19"/>
    <w:link w:val="14"/>
    <w:qFormat/>
    <w:locked/>
    <w:uiPriority w:val="99"/>
    <w:rPr>
      <w:rFonts w:ascii="Calibri" w:hAnsi="Calibri" w:eastAsia="宋体" w:cs="Times New Roman"/>
      <w:kern w:val="2"/>
      <w:sz w:val="18"/>
      <w:szCs w:val="18"/>
    </w:rPr>
  </w:style>
  <w:style w:type="character" w:customStyle="1" w:styleId="35">
    <w:name w:val="Subtitle Char"/>
    <w:basedOn w:val="19"/>
    <w:link w:val="15"/>
    <w:qFormat/>
    <w:locked/>
    <w:uiPriority w:val="99"/>
    <w:rPr>
      <w:rFonts w:ascii="Cambria" w:hAnsi="Cambria" w:eastAsia="宋体" w:cs="Times New Roman"/>
      <w:sz w:val="24"/>
      <w:szCs w:val="24"/>
    </w:rPr>
  </w:style>
  <w:style w:type="character" w:customStyle="1" w:styleId="36">
    <w:name w:val="Title Char"/>
    <w:basedOn w:val="19"/>
    <w:link w:val="17"/>
    <w:qFormat/>
    <w:locked/>
    <w:uiPriority w:val="99"/>
    <w:rPr>
      <w:rFonts w:ascii="Cambria" w:hAnsi="Cambria" w:eastAsia="宋体" w:cs="Times New Roman"/>
      <w:b/>
      <w:bCs/>
      <w:kern w:val="28"/>
      <w:sz w:val="32"/>
      <w:szCs w:val="32"/>
    </w:rPr>
  </w:style>
  <w:style w:type="paragraph" w:customStyle="1" w:styleId="37">
    <w:name w:val="No Spacing1"/>
    <w:basedOn w:val="1"/>
    <w:qFormat/>
    <w:uiPriority w:val="99"/>
    <w:pPr>
      <w:widowControl/>
      <w:jc w:val="left"/>
    </w:pPr>
    <w:rPr>
      <w:rFonts w:ascii="Calibri" w:hAnsi="Calibri"/>
      <w:kern w:val="0"/>
      <w:sz w:val="24"/>
      <w:szCs w:val="32"/>
      <w:lang w:eastAsia="en-US"/>
    </w:rPr>
  </w:style>
  <w:style w:type="paragraph" w:customStyle="1" w:styleId="38">
    <w:name w:val="List Paragraph1"/>
    <w:basedOn w:val="1"/>
    <w:qFormat/>
    <w:uiPriority w:val="99"/>
    <w:pPr>
      <w:widowControl/>
      <w:ind w:left="720"/>
      <w:contextualSpacing/>
      <w:jc w:val="left"/>
    </w:pPr>
    <w:rPr>
      <w:rFonts w:ascii="Calibri" w:hAnsi="Calibri"/>
      <w:kern w:val="0"/>
      <w:sz w:val="24"/>
      <w:lang w:eastAsia="en-US"/>
    </w:rPr>
  </w:style>
  <w:style w:type="paragraph" w:customStyle="1" w:styleId="39">
    <w:name w:val="Quote1"/>
    <w:basedOn w:val="1"/>
    <w:next w:val="1"/>
    <w:link w:val="40"/>
    <w:qFormat/>
    <w:uiPriority w:val="99"/>
    <w:pPr>
      <w:widowControl/>
      <w:jc w:val="left"/>
    </w:pPr>
    <w:rPr>
      <w:rFonts w:ascii="Calibri" w:hAnsi="Calibri"/>
      <w:i/>
      <w:kern w:val="0"/>
      <w:sz w:val="24"/>
    </w:rPr>
  </w:style>
  <w:style w:type="character" w:customStyle="1" w:styleId="40">
    <w:name w:val="引用 Char"/>
    <w:basedOn w:val="19"/>
    <w:link w:val="39"/>
    <w:qFormat/>
    <w:locked/>
    <w:uiPriority w:val="99"/>
    <w:rPr>
      <w:rFonts w:cs="Times New Roman"/>
      <w:i/>
      <w:sz w:val="24"/>
      <w:szCs w:val="24"/>
    </w:rPr>
  </w:style>
  <w:style w:type="paragraph" w:customStyle="1" w:styleId="41">
    <w:name w:val="Intense Quote1"/>
    <w:basedOn w:val="1"/>
    <w:next w:val="1"/>
    <w:link w:val="42"/>
    <w:qFormat/>
    <w:uiPriority w:val="99"/>
    <w:pPr>
      <w:widowControl/>
      <w:ind w:left="720" w:right="720"/>
      <w:jc w:val="left"/>
    </w:pPr>
    <w:rPr>
      <w:rFonts w:ascii="Calibri" w:hAnsi="Calibri"/>
      <w:b/>
      <w:i/>
      <w:kern w:val="0"/>
      <w:sz w:val="24"/>
      <w:szCs w:val="22"/>
    </w:rPr>
  </w:style>
  <w:style w:type="character" w:customStyle="1" w:styleId="42">
    <w:name w:val="明显引用 Char"/>
    <w:basedOn w:val="19"/>
    <w:link w:val="41"/>
    <w:qFormat/>
    <w:locked/>
    <w:uiPriority w:val="99"/>
    <w:rPr>
      <w:rFonts w:cs="Times New Roman"/>
      <w:b/>
      <w:i/>
      <w:sz w:val="24"/>
    </w:rPr>
  </w:style>
  <w:style w:type="character" w:customStyle="1" w:styleId="43">
    <w:name w:val="Subtle Emphasis1"/>
    <w:qFormat/>
    <w:uiPriority w:val="99"/>
    <w:rPr>
      <w:i/>
      <w:color w:val="5A5A5A"/>
    </w:rPr>
  </w:style>
  <w:style w:type="character" w:customStyle="1" w:styleId="44">
    <w:name w:val="Intense Emphasis1"/>
    <w:basedOn w:val="19"/>
    <w:qFormat/>
    <w:uiPriority w:val="99"/>
    <w:rPr>
      <w:rFonts w:cs="Times New Roman"/>
      <w:b/>
      <w:i/>
      <w:sz w:val="24"/>
      <w:szCs w:val="24"/>
      <w:u w:val="single"/>
    </w:rPr>
  </w:style>
  <w:style w:type="character" w:customStyle="1" w:styleId="45">
    <w:name w:val="Subtle Reference1"/>
    <w:basedOn w:val="19"/>
    <w:qFormat/>
    <w:uiPriority w:val="99"/>
    <w:rPr>
      <w:rFonts w:cs="Times New Roman"/>
      <w:sz w:val="24"/>
      <w:szCs w:val="24"/>
      <w:u w:val="single"/>
    </w:rPr>
  </w:style>
  <w:style w:type="character" w:customStyle="1" w:styleId="46">
    <w:name w:val="Intense Reference1"/>
    <w:basedOn w:val="19"/>
    <w:qFormat/>
    <w:uiPriority w:val="99"/>
    <w:rPr>
      <w:rFonts w:cs="Times New Roman"/>
      <w:b/>
      <w:sz w:val="24"/>
      <w:u w:val="single"/>
    </w:rPr>
  </w:style>
  <w:style w:type="character" w:customStyle="1" w:styleId="47">
    <w:name w:val="Book Title1"/>
    <w:basedOn w:val="19"/>
    <w:qFormat/>
    <w:uiPriority w:val="99"/>
    <w:rPr>
      <w:rFonts w:ascii="Cambria" w:hAnsi="Cambria" w:eastAsia="宋体" w:cs="Times New Roman"/>
      <w:b/>
      <w:i/>
      <w:sz w:val="24"/>
      <w:szCs w:val="24"/>
    </w:rPr>
  </w:style>
  <w:style w:type="paragraph" w:customStyle="1" w:styleId="48">
    <w:name w:val="TOC Heading1"/>
    <w:basedOn w:val="2"/>
    <w:next w:val="1"/>
    <w:qFormat/>
    <w:uiPriority w:val="99"/>
    <w:pPr>
      <w:outlineLvl w:val="9"/>
    </w:pPr>
    <w:rPr>
      <w:lang w:eastAsia="en-US"/>
    </w:rPr>
  </w:style>
  <w:style w:type="paragraph" w:customStyle="1" w:styleId="49">
    <w:name w:val="正文 A"/>
    <w:qFormat/>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10</Pages>
  <Words>659</Words>
  <Characters>3760</Characters>
  <Lines>0</Lines>
  <Paragraphs>0</Paragraphs>
  <TotalTime>5</TotalTime>
  <ScaleCrop>false</ScaleCrop>
  <LinksUpToDate>false</LinksUpToDate>
  <CharactersWithSpaces>0</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2019-01-15T16:08:00Z</dcterms:created>
  <dc:creator>赵 恺（预算处）</dc:creator>
  <cp:lastModifiedBy>敖影馨</cp:lastModifiedBy>
  <cp:lastPrinted>2019-01-15T17:56:00Z</cp:lastPrinted>
  <dcterms:modified xsi:type="dcterms:W3CDTF">2019-09-21T04:26:01Z</dcterms:modified>
  <dc:title>新疆财政支出绩效自评报告</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